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EA" w:rsidRDefault="008A5FC7" w:rsidP="006D70EA">
      <w:pPr>
        <w:pStyle w:val="NoSpacing"/>
        <w:jc w:val="center"/>
        <w:rPr>
          <w:rFonts w:ascii="Garamond" w:hAnsi="Garamond" w:cs="Times New Roman"/>
          <w:b/>
          <w:color w:val="365F91" w:themeColor="accent1" w:themeShade="BF"/>
          <w:sz w:val="24"/>
          <w:szCs w:val="24"/>
        </w:rPr>
      </w:pPr>
      <w:r>
        <w:rPr>
          <w:rFonts w:ascii="Garamond" w:hAnsi="Garamond" w:cs="Times New Roman"/>
          <w:b/>
          <w:noProof/>
          <w:color w:val="365F91" w:themeColor="accent1" w:themeShade="BF"/>
          <w:sz w:val="24"/>
          <w:szCs w:val="24"/>
        </w:rPr>
        <w:pict>
          <v:shapetype id="_x0000_t202" coordsize="21600,21600" o:spt="202" path="m,l,21600r21600,l21600,xe">
            <v:stroke joinstyle="miter"/>
            <v:path gradientshapeok="t" o:connecttype="rect"/>
          </v:shapetype>
          <v:shape id="_x0000_s1026" type="#_x0000_t202" style="position:absolute;left:0;text-align:left;margin-left:-3.8pt;margin-top:0;width:387pt;height:95.9pt;z-index:251663360" stroked="f">
            <v:textbox>
              <w:txbxContent>
                <w:p w:rsidR="008A5FC7" w:rsidRPr="008A5FC7" w:rsidRDefault="008A5FC7" w:rsidP="008A5FC7">
                  <w:pPr>
                    <w:spacing w:after="0" w:line="0" w:lineRule="atLeast"/>
                    <w:jc w:val="center"/>
                    <w:rPr>
                      <w:rFonts w:ascii="Garamond" w:eastAsia="Calibri" w:hAnsi="Garamond" w:cs="Times New Roman"/>
                      <w:smallCaps/>
                      <w:sz w:val="24"/>
                      <w:szCs w:val="24"/>
                    </w:rPr>
                  </w:pPr>
                  <w:r w:rsidRPr="008A5FC7">
                    <w:rPr>
                      <w:rFonts w:ascii="Garamond" w:eastAsia="Calibri" w:hAnsi="Garamond" w:cs="Times New Roman"/>
                      <w:smallCaps/>
                      <w:sz w:val="24"/>
                      <w:szCs w:val="24"/>
                    </w:rPr>
                    <w:t>The Peer-Led Team Learning International Society</w:t>
                  </w:r>
                </w:p>
                <w:p w:rsidR="008A5FC7" w:rsidRPr="008A5FC7" w:rsidRDefault="008A5FC7" w:rsidP="008A5FC7">
                  <w:pPr>
                    <w:spacing w:after="0" w:line="0" w:lineRule="atLeast"/>
                    <w:jc w:val="center"/>
                    <w:rPr>
                      <w:rFonts w:ascii="Garamond" w:eastAsia="Calibri" w:hAnsi="Garamond" w:cs="Times New Roman"/>
                      <w:smallCaps/>
                      <w:sz w:val="24"/>
                      <w:szCs w:val="24"/>
                    </w:rPr>
                  </w:pPr>
                  <w:r w:rsidRPr="008A5FC7">
                    <w:rPr>
                      <w:rFonts w:ascii="Garamond" w:eastAsia="Calibri" w:hAnsi="Garamond" w:cs="Times New Roman"/>
                      <w:smallCaps/>
                      <w:sz w:val="24"/>
                      <w:szCs w:val="24"/>
                    </w:rPr>
                    <w:t>Proceedings of the Inaugural Conference</w:t>
                  </w:r>
                </w:p>
                <w:p w:rsidR="008A5FC7" w:rsidRPr="008A5FC7" w:rsidRDefault="008A5FC7" w:rsidP="008A5FC7">
                  <w:pPr>
                    <w:spacing w:after="0" w:line="0" w:lineRule="atLeast"/>
                    <w:jc w:val="center"/>
                    <w:rPr>
                      <w:rFonts w:ascii="Garamond" w:eastAsia="Calibri" w:hAnsi="Garamond" w:cs="Times New Roman"/>
                      <w:smallCaps/>
                      <w:sz w:val="24"/>
                      <w:szCs w:val="24"/>
                    </w:rPr>
                  </w:pPr>
                  <w:r w:rsidRPr="008A5FC7">
                    <w:rPr>
                      <w:rFonts w:ascii="Garamond" w:eastAsia="Calibri" w:hAnsi="Garamond" w:cs="Times New Roman"/>
                      <w:smallCaps/>
                      <w:sz w:val="24"/>
                      <w:szCs w:val="24"/>
                    </w:rPr>
                    <w:t>May 17-19, 2012</w:t>
                  </w:r>
                </w:p>
                <w:p w:rsidR="008A5FC7" w:rsidRPr="006D58AD" w:rsidRDefault="008A5FC7" w:rsidP="008A5FC7">
                  <w:pPr>
                    <w:spacing w:after="0" w:line="0" w:lineRule="atLeast"/>
                    <w:jc w:val="center"/>
                    <w:rPr>
                      <w:rFonts w:ascii="Garamond" w:eastAsia="Calibri" w:hAnsi="Garamond" w:cs="Times New Roman"/>
                      <w:smallCaps/>
                      <w:sz w:val="20"/>
                      <w:szCs w:val="20"/>
                    </w:rPr>
                  </w:pPr>
                  <w:r w:rsidRPr="006D58AD">
                    <w:rPr>
                      <w:rFonts w:ascii="Garamond" w:eastAsia="Calibri" w:hAnsi="Garamond" w:cs="Times New Roman"/>
                      <w:smallCaps/>
                      <w:sz w:val="20"/>
                      <w:szCs w:val="20"/>
                    </w:rPr>
                    <w:t xml:space="preserve">New York City College of Technology of </w:t>
                  </w:r>
                </w:p>
                <w:p w:rsidR="008A5FC7" w:rsidRPr="006D58AD" w:rsidRDefault="008A5FC7" w:rsidP="008A5FC7">
                  <w:pPr>
                    <w:spacing w:after="0" w:line="0" w:lineRule="atLeast"/>
                    <w:jc w:val="center"/>
                    <w:rPr>
                      <w:rFonts w:ascii="Garamond" w:eastAsia="Calibri" w:hAnsi="Garamond" w:cs="Times New Roman"/>
                      <w:smallCaps/>
                      <w:sz w:val="20"/>
                      <w:szCs w:val="20"/>
                    </w:rPr>
                  </w:pPr>
                  <w:r w:rsidRPr="006D58AD">
                    <w:rPr>
                      <w:rFonts w:ascii="Garamond" w:eastAsia="Calibri" w:hAnsi="Garamond" w:cs="Times New Roman"/>
                      <w:smallCaps/>
                      <w:sz w:val="20"/>
                      <w:szCs w:val="20"/>
                    </w:rPr>
                    <w:t>the City University of New York</w:t>
                  </w:r>
                </w:p>
                <w:p w:rsidR="008A5FC7" w:rsidRPr="006D58AD" w:rsidRDefault="008A5FC7" w:rsidP="008A5FC7">
                  <w:pPr>
                    <w:spacing w:after="0" w:line="0" w:lineRule="atLeast"/>
                    <w:jc w:val="center"/>
                    <w:rPr>
                      <w:rFonts w:ascii="Garamond" w:eastAsia="Calibri" w:hAnsi="Garamond" w:cs="Times New Roman"/>
                      <w:smallCaps/>
                      <w:sz w:val="20"/>
                      <w:szCs w:val="20"/>
                    </w:rPr>
                  </w:pPr>
                  <w:r w:rsidRPr="006D58AD">
                    <w:rPr>
                      <w:rFonts w:ascii="Garamond" w:hAnsi="Garamond"/>
                      <w:smallCaps/>
                      <w:sz w:val="20"/>
                      <w:szCs w:val="20"/>
                    </w:rPr>
                    <w:t>Brooklyn, NY 11201-2983</w:t>
                  </w:r>
                </w:p>
                <w:p w:rsidR="008A5FC7" w:rsidRPr="00D108AC" w:rsidRDefault="008A5FC7" w:rsidP="008A5FC7">
                  <w:pPr>
                    <w:spacing w:line="0" w:lineRule="atLeast"/>
                    <w:rPr>
                      <w:rFonts w:ascii="Bell MT" w:eastAsia="Calibri" w:hAnsi="Bell MT" w:cs="Times New Roman"/>
                    </w:rPr>
                  </w:pPr>
                </w:p>
              </w:txbxContent>
            </v:textbox>
          </v:shape>
        </w:pict>
      </w:r>
      <w:r w:rsidRPr="008A5FC7">
        <w:rPr>
          <w:rFonts w:ascii="Garamond" w:hAnsi="Garamond" w:cs="Times New Roman"/>
          <w:b/>
          <w:color w:val="365F91" w:themeColor="accent1" w:themeShade="BF"/>
          <w:sz w:val="24"/>
          <w:szCs w:val="24"/>
        </w:rPr>
        <w:drawing>
          <wp:anchor distT="0" distB="0" distL="114300" distR="114300" simplePos="0" relativeHeight="251662336" behindDoc="1" locked="0" layoutInCell="1" allowOverlap="1">
            <wp:simplePos x="0" y="0"/>
            <wp:positionH relativeFrom="column">
              <wp:posOffset>152400</wp:posOffset>
            </wp:positionH>
            <wp:positionV relativeFrom="paragraph">
              <wp:posOffset>-66675</wp:posOffset>
            </wp:positionV>
            <wp:extent cx="990600" cy="1228725"/>
            <wp:effectExtent l="19050" t="0" r="0" b="0"/>
            <wp:wrapTight wrapText="bothSides">
              <wp:wrapPolygon edited="0">
                <wp:start x="-415" y="0"/>
                <wp:lineTo x="-415" y="21433"/>
                <wp:lineTo x="21600" y="21433"/>
                <wp:lineTo x="21600" y="0"/>
                <wp:lineTo x="-415" y="0"/>
              </wp:wrapPolygon>
            </wp:wrapTight>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0600" cy="1228725"/>
                    </a:xfrm>
                    <a:prstGeom prst="rect">
                      <a:avLst/>
                    </a:prstGeom>
                    <a:noFill/>
                    <a:ln w="9525">
                      <a:noFill/>
                      <a:miter lim="800000"/>
                      <a:headEnd/>
                      <a:tailEnd/>
                    </a:ln>
                  </pic:spPr>
                </pic:pic>
              </a:graphicData>
            </a:graphic>
          </wp:anchor>
        </w:drawing>
      </w:r>
    </w:p>
    <w:p w:rsidR="006D70EA" w:rsidRDefault="006D70EA" w:rsidP="006D70EA">
      <w:pPr>
        <w:pStyle w:val="NoSpacing"/>
        <w:jc w:val="center"/>
        <w:rPr>
          <w:rFonts w:ascii="Garamond" w:hAnsi="Garamond" w:cs="Times New Roman"/>
          <w:b/>
          <w:color w:val="365F91" w:themeColor="accent1" w:themeShade="BF"/>
          <w:sz w:val="24"/>
          <w:szCs w:val="24"/>
        </w:rPr>
      </w:pPr>
    </w:p>
    <w:p w:rsidR="006D70EA" w:rsidRDefault="006D70EA" w:rsidP="006D70EA">
      <w:pPr>
        <w:pStyle w:val="NoSpacing"/>
        <w:jc w:val="center"/>
        <w:rPr>
          <w:rFonts w:ascii="Garamond" w:hAnsi="Garamond" w:cs="Times New Roman"/>
          <w:b/>
          <w:color w:val="365F91" w:themeColor="accent1" w:themeShade="BF"/>
          <w:sz w:val="24"/>
          <w:szCs w:val="24"/>
        </w:rPr>
      </w:pPr>
    </w:p>
    <w:p w:rsidR="006D70EA" w:rsidRDefault="006D70EA" w:rsidP="006D70EA">
      <w:pPr>
        <w:pStyle w:val="NoSpacing"/>
        <w:jc w:val="center"/>
        <w:rPr>
          <w:rFonts w:ascii="Garamond" w:hAnsi="Garamond" w:cs="Times New Roman"/>
          <w:b/>
          <w:color w:val="365F91" w:themeColor="accent1" w:themeShade="BF"/>
          <w:sz w:val="24"/>
          <w:szCs w:val="24"/>
        </w:rPr>
      </w:pPr>
    </w:p>
    <w:p w:rsidR="006D70EA" w:rsidRDefault="006D70EA" w:rsidP="006D70EA">
      <w:pPr>
        <w:pStyle w:val="NoSpacing"/>
        <w:jc w:val="center"/>
        <w:rPr>
          <w:rFonts w:ascii="Garamond" w:hAnsi="Garamond" w:cs="Times New Roman"/>
          <w:b/>
          <w:color w:val="365F91" w:themeColor="accent1" w:themeShade="BF"/>
          <w:sz w:val="24"/>
          <w:szCs w:val="24"/>
        </w:rPr>
      </w:pPr>
    </w:p>
    <w:p w:rsidR="006D70EA" w:rsidRDefault="006D70EA" w:rsidP="006D70EA">
      <w:pPr>
        <w:pStyle w:val="NoSpacing"/>
        <w:jc w:val="center"/>
        <w:rPr>
          <w:rFonts w:ascii="Garamond" w:hAnsi="Garamond" w:cs="Times New Roman"/>
          <w:b/>
          <w:color w:val="365F91" w:themeColor="accent1" w:themeShade="BF"/>
          <w:sz w:val="24"/>
          <w:szCs w:val="24"/>
        </w:rPr>
      </w:pPr>
    </w:p>
    <w:p w:rsidR="006D70EA" w:rsidRDefault="006D70EA" w:rsidP="006D70EA">
      <w:pPr>
        <w:pStyle w:val="NoSpacing"/>
        <w:jc w:val="center"/>
        <w:rPr>
          <w:rFonts w:ascii="Garamond" w:hAnsi="Garamond" w:cs="Times New Roman"/>
          <w:b/>
          <w:color w:val="365F91" w:themeColor="accent1" w:themeShade="BF"/>
          <w:sz w:val="24"/>
          <w:szCs w:val="24"/>
        </w:rPr>
      </w:pPr>
    </w:p>
    <w:p w:rsidR="006D70EA" w:rsidRDefault="006D70EA" w:rsidP="006D70EA">
      <w:pPr>
        <w:pStyle w:val="NoSpacing"/>
        <w:jc w:val="center"/>
        <w:rPr>
          <w:rFonts w:ascii="Garamond" w:hAnsi="Garamond" w:cs="Times New Roman"/>
          <w:b/>
          <w:color w:val="365F91" w:themeColor="accent1" w:themeShade="BF"/>
          <w:sz w:val="24"/>
          <w:szCs w:val="24"/>
        </w:rPr>
      </w:pPr>
    </w:p>
    <w:p w:rsidR="006D70EA" w:rsidRDefault="006D70EA" w:rsidP="006D70EA">
      <w:pPr>
        <w:pStyle w:val="NoSpacing"/>
        <w:jc w:val="center"/>
        <w:rPr>
          <w:rFonts w:ascii="Garamond" w:hAnsi="Garamond" w:cs="Times New Roman"/>
          <w:b/>
          <w:color w:val="365F91" w:themeColor="accent1" w:themeShade="BF"/>
          <w:sz w:val="24"/>
          <w:szCs w:val="24"/>
        </w:rPr>
      </w:pPr>
    </w:p>
    <w:p w:rsidR="006D70EA" w:rsidRDefault="006D70EA" w:rsidP="006D70EA">
      <w:pPr>
        <w:pStyle w:val="NoSpacing"/>
        <w:jc w:val="center"/>
        <w:rPr>
          <w:rFonts w:ascii="Garamond" w:hAnsi="Garamond" w:cs="Times New Roman"/>
          <w:b/>
          <w:color w:val="365F91" w:themeColor="accent1" w:themeShade="BF"/>
          <w:sz w:val="24"/>
          <w:szCs w:val="24"/>
        </w:rPr>
      </w:pPr>
    </w:p>
    <w:p w:rsidR="00B97E00" w:rsidRPr="006D70EA" w:rsidRDefault="00B97E00" w:rsidP="006D70EA">
      <w:pPr>
        <w:pStyle w:val="NoSpacing"/>
        <w:jc w:val="center"/>
        <w:rPr>
          <w:rFonts w:ascii="Garamond" w:hAnsi="Garamond" w:cs="Times New Roman"/>
          <w:b/>
          <w:color w:val="365F91" w:themeColor="accent1" w:themeShade="BF"/>
          <w:sz w:val="24"/>
          <w:szCs w:val="24"/>
        </w:rPr>
      </w:pPr>
      <w:r w:rsidRPr="006D70EA">
        <w:rPr>
          <w:rFonts w:ascii="Garamond" w:hAnsi="Garamond" w:cs="Times New Roman"/>
          <w:b/>
          <w:color w:val="365F91" w:themeColor="accent1" w:themeShade="BF"/>
          <w:sz w:val="24"/>
          <w:szCs w:val="24"/>
        </w:rPr>
        <w:t>The PLTL Leader Boost</w:t>
      </w:r>
    </w:p>
    <w:p w:rsidR="00B97E00" w:rsidRPr="006D70EA" w:rsidRDefault="00B97E00" w:rsidP="006D70EA">
      <w:pPr>
        <w:pStyle w:val="NoSpacing"/>
        <w:jc w:val="center"/>
        <w:rPr>
          <w:rFonts w:ascii="Garamond" w:hAnsi="Garamond" w:cs="Times New Roman"/>
          <w:i/>
          <w:color w:val="365F91" w:themeColor="accent1" w:themeShade="BF"/>
          <w:sz w:val="24"/>
          <w:szCs w:val="24"/>
        </w:rPr>
      </w:pPr>
      <w:r w:rsidRPr="006D70EA">
        <w:rPr>
          <w:rFonts w:ascii="Garamond" w:hAnsi="Garamond" w:cs="Times New Roman"/>
          <w:color w:val="365F91" w:themeColor="accent1" w:themeShade="BF"/>
          <w:sz w:val="24"/>
          <w:szCs w:val="24"/>
        </w:rPr>
        <w:t xml:space="preserve">Jose Luis </w:t>
      </w:r>
      <w:proofErr w:type="spellStart"/>
      <w:r w:rsidRPr="006D70EA">
        <w:rPr>
          <w:rFonts w:ascii="Garamond" w:hAnsi="Garamond" w:cs="Times New Roman"/>
          <w:color w:val="365F91" w:themeColor="accent1" w:themeShade="BF"/>
          <w:sz w:val="24"/>
          <w:szCs w:val="24"/>
        </w:rPr>
        <w:t>Alberte</w:t>
      </w:r>
      <w:proofErr w:type="spellEnd"/>
      <w:r w:rsidRPr="006D70EA">
        <w:rPr>
          <w:rFonts w:ascii="Garamond" w:hAnsi="Garamond" w:cs="Times New Roman"/>
          <w:color w:val="365F91" w:themeColor="accent1" w:themeShade="BF"/>
          <w:sz w:val="24"/>
          <w:szCs w:val="24"/>
        </w:rPr>
        <w:t xml:space="preserve">, Alberto Cruz, </w:t>
      </w:r>
      <w:proofErr w:type="spellStart"/>
      <w:r w:rsidRPr="006D70EA">
        <w:rPr>
          <w:rFonts w:ascii="Garamond" w:hAnsi="Garamond" w:cs="Times New Roman"/>
          <w:color w:val="365F91" w:themeColor="accent1" w:themeShade="BF"/>
          <w:sz w:val="24"/>
          <w:szCs w:val="24"/>
        </w:rPr>
        <w:t>Nataly</w:t>
      </w:r>
      <w:proofErr w:type="spellEnd"/>
      <w:r w:rsidRPr="006D70EA">
        <w:rPr>
          <w:rFonts w:ascii="Garamond" w:hAnsi="Garamond" w:cs="Times New Roman"/>
          <w:color w:val="365F91" w:themeColor="accent1" w:themeShade="BF"/>
          <w:sz w:val="24"/>
          <w:szCs w:val="24"/>
        </w:rPr>
        <w:t xml:space="preserve"> Rodriguez, Thomas </w:t>
      </w:r>
      <w:proofErr w:type="spellStart"/>
      <w:r w:rsidRPr="006D70EA">
        <w:rPr>
          <w:rFonts w:ascii="Garamond" w:hAnsi="Garamond" w:cs="Times New Roman"/>
          <w:color w:val="365F91" w:themeColor="accent1" w:themeShade="BF"/>
          <w:sz w:val="24"/>
          <w:szCs w:val="24"/>
        </w:rPr>
        <w:t>Pitzer</w:t>
      </w:r>
      <w:proofErr w:type="spellEnd"/>
    </w:p>
    <w:p w:rsidR="00B97E00" w:rsidRPr="006D70EA" w:rsidRDefault="00B97E00" w:rsidP="00B97E00">
      <w:pPr>
        <w:pStyle w:val="NoSpacing"/>
        <w:rPr>
          <w:rFonts w:ascii="Garamond" w:hAnsi="Garamond" w:cs="Times New Roman"/>
        </w:rPr>
      </w:pPr>
    </w:p>
    <w:p w:rsidR="00B97E00" w:rsidRPr="006D70EA" w:rsidRDefault="006D70EA" w:rsidP="006D70EA">
      <w:pPr>
        <w:pStyle w:val="NoSpacing"/>
        <w:spacing w:line="276" w:lineRule="auto"/>
        <w:rPr>
          <w:rFonts w:ascii="Garamond" w:hAnsi="Garamond" w:cs="Times New Roman"/>
          <w:u w:val="single"/>
        </w:rPr>
      </w:pPr>
      <w:r w:rsidRPr="006D70EA">
        <w:rPr>
          <w:rFonts w:ascii="Garamond" w:hAnsi="Garamond" w:cs="Times New Roman"/>
          <w:u w:val="single"/>
        </w:rPr>
        <w:t>Abstract</w:t>
      </w:r>
    </w:p>
    <w:p w:rsidR="006D70EA" w:rsidRDefault="00B97E00" w:rsidP="006D70EA">
      <w:pPr>
        <w:autoSpaceDE w:val="0"/>
        <w:autoSpaceDN w:val="0"/>
        <w:adjustRightInd w:val="0"/>
        <w:spacing w:after="0"/>
        <w:rPr>
          <w:rFonts w:ascii="Garamond" w:hAnsi="Garamond" w:cs="Times New Roman"/>
          <w:bCs/>
        </w:rPr>
      </w:pPr>
      <w:r w:rsidRPr="006D70EA">
        <w:rPr>
          <w:rFonts w:ascii="Garamond" w:hAnsi="Garamond" w:cs="Times New Roman"/>
          <w:bCs/>
        </w:rPr>
        <w:t>Qualitative data has demonstrated the impact of</w:t>
      </w:r>
      <w:r w:rsidR="008A5FC7">
        <w:rPr>
          <w:rFonts w:ascii="Garamond" w:hAnsi="Garamond" w:cs="Times New Roman"/>
          <w:bCs/>
        </w:rPr>
        <w:t xml:space="preserve"> </w:t>
      </w:r>
      <w:r w:rsidRPr="006D70EA">
        <w:rPr>
          <w:rFonts w:ascii="Garamond" w:hAnsi="Garamond" w:cs="Times New Roman"/>
          <w:bCs/>
        </w:rPr>
        <w:t>PLTL on a Peer Leader’s</w:t>
      </w:r>
      <w:r w:rsidR="008A5FC7">
        <w:rPr>
          <w:rFonts w:ascii="Garamond" w:hAnsi="Garamond" w:cs="Times New Roman"/>
          <w:bCs/>
        </w:rPr>
        <w:t xml:space="preserve"> </w:t>
      </w:r>
      <w:r w:rsidRPr="006D70EA">
        <w:rPr>
          <w:rFonts w:ascii="Garamond" w:hAnsi="Garamond" w:cs="Times New Roman"/>
          <w:bCs/>
        </w:rPr>
        <w:t xml:space="preserve">academic performance. </w:t>
      </w:r>
      <w:r w:rsidR="003E4F0B">
        <w:rPr>
          <w:rFonts w:ascii="Garamond" w:hAnsi="Garamond" w:cs="Times New Roman"/>
          <w:bCs/>
        </w:rPr>
        <w:t xml:space="preserve">In this paper </w:t>
      </w:r>
      <w:r w:rsidR="001355E8" w:rsidRPr="006D70EA">
        <w:rPr>
          <w:rFonts w:ascii="Garamond" w:hAnsi="Garamond" w:cs="Times New Roman"/>
          <w:bCs/>
        </w:rPr>
        <w:t xml:space="preserve">we quantitatively show the presence of the </w:t>
      </w:r>
      <w:r w:rsidRPr="006D70EA">
        <w:rPr>
          <w:rFonts w:ascii="Garamond" w:hAnsi="Garamond" w:cs="Times New Roman"/>
          <w:bCs/>
        </w:rPr>
        <w:t>Peer Leader boost</w:t>
      </w:r>
      <w:r w:rsidR="003E4F0B">
        <w:rPr>
          <w:rFonts w:ascii="Garamond" w:hAnsi="Garamond" w:cs="Times New Roman"/>
          <w:bCs/>
        </w:rPr>
        <w:t xml:space="preserve"> at Florida International University</w:t>
      </w:r>
      <w:r w:rsidRPr="006D70EA">
        <w:rPr>
          <w:rFonts w:ascii="Garamond" w:hAnsi="Garamond" w:cs="Times New Roman"/>
          <w:bCs/>
        </w:rPr>
        <w:t xml:space="preserve">. </w:t>
      </w:r>
      <w:r w:rsidR="001355E8" w:rsidRPr="006D70EA">
        <w:rPr>
          <w:rFonts w:ascii="Garamond" w:hAnsi="Garamond" w:cs="Times New Roman"/>
          <w:bCs/>
        </w:rPr>
        <w:t>Just as in any apprenticeship role,</w:t>
      </w:r>
      <w:r w:rsidR="008A5FC7">
        <w:rPr>
          <w:rFonts w:ascii="Garamond" w:hAnsi="Garamond" w:cs="Times New Roman"/>
          <w:bCs/>
        </w:rPr>
        <w:t xml:space="preserve"> </w:t>
      </w:r>
      <w:r w:rsidRPr="006D70EA">
        <w:rPr>
          <w:rFonts w:ascii="Garamond" w:hAnsi="Garamond" w:cs="Times New Roman"/>
          <w:bCs/>
        </w:rPr>
        <w:t>Peer Leaders undergo an extensive training program and it is this experience which provides an adv</w:t>
      </w:r>
      <w:r w:rsidR="008F4D42" w:rsidRPr="006D70EA">
        <w:rPr>
          <w:rFonts w:ascii="Garamond" w:hAnsi="Garamond" w:cs="Times New Roman"/>
          <w:bCs/>
        </w:rPr>
        <w:t>antage</w:t>
      </w:r>
      <w:r w:rsidRPr="006D70EA">
        <w:rPr>
          <w:rFonts w:ascii="Garamond" w:hAnsi="Garamond" w:cs="Times New Roman"/>
          <w:bCs/>
        </w:rPr>
        <w:t>. Training includes pedagogy, classroom dynamics, science concepts, and critical thinking skills equipping</w:t>
      </w:r>
      <w:r w:rsidR="008A5FC7">
        <w:rPr>
          <w:rFonts w:ascii="Garamond" w:hAnsi="Garamond" w:cs="Times New Roman"/>
          <w:bCs/>
        </w:rPr>
        <w:t xml:space="preserve"> </w:t>
      </w:r>
      <w:r w:rsidRPr="006D70EA">
        <w:rPr>
          <w:rFonts w:ascii="Garamond" w:hAnsi="Garamond" w:cs="Times New Roman"/>
          <w:bCs/>
        </w:rPr>
        <w:t>Peer Leaders with the necessary skills to manage a productive active learning environment. Initial observations and feedback indicate that participation as a P</w:t>
      </w:r>
      <w:r w:rsidR="00FD6C19" w:rsidRPr="006D70EA">
        <w:rPr>
          <w:rFonts w:ascii="Garamond" w:hAnsi="Garamond" w:cs="Times New Roman"/>
          <w:bCs/>
        </w:rPr>
        <w:t xml:space="preserve">eer </w:t>
      </w:r>
      <w:r w:rsidRPr="006D70EA">
        <w:rPr>
          <w:rFonts w:ascii="Garamond" w:hAnsi="Garamond" w:cs="Times New Roman"/>
          <w:bCs/>
        </w:rPr>
        <w:t>L</w:t>
      </w:r>
      <w:r w:rsidR="00FD6C19" w:rsidRPr="006D70EA">
        <w:rPr>
          <w:rFonts w:ascii="Garamond" w:hAnsi="Garamond" w:cs="Times New Roman"/>
          <w:bCs/>
        </w:rPr>
        <w:t>eader</w:t>
      </w:r>
      <w:r w:rsidRPr="006D70EA">
        <w:rPr>
          <w:rFonts w:ascii="Garamond" w:hAnsi="Garamond" w:cs="Times New Roman"/>
          <w:bCs/>
        </w:rPr>
        <w:t xml:space="preserve"> add</w:t>
      </w:r>
      <w:r w:rsidR="00FD6C19" w:rsidRPr="006D70EA">
        <w:rPr>
          <w:rFonts w:ascii="Garamond" w:hAnsi="Garamond" w:cs="Times New Roman"/>
          <w:bCs/>
        </w:rPr>
        <w:t>s</w:t>
      </w:r>
      <w:r w:rsidRPr="006D70EA">
        <w:rPr>
          <w:rFonts w:ascii="Garamond" w:hAnsi="Garamond" w:cs="Times New Roman"/>
          <w:bCs/>
        </w:rPr>
        <w:t xml:space="preserve"> value such as enculturation in the discipline, increased performance in traditionally assessed learning outcomes</w:t>
      </w:r>
      <w:r w:rsidR="00FD6C19" w:rsidRPr="006D70EA">
        <w:rPr>
          <w:rFonts w:ascii="Garamond" w:hAnsi="Garamond" w:cs="Times New Roman"/>
          <w:bCs/>
        </w:rPr>
        <w:t>,</w:t>
      </w:r>
      <w:r w:rsidRPr="006D70EA">
        <w:rPr>
          <w:rFonts w:ascii="Garamond" w:hAnsi="Garamond" w:cs="Times New Roman"/>
          <w:bCs/>
        </w:rPr>
        <w:t xml:space="preserve"> and increased retention within the discipline. Preliminary data demonstrates a significant difference in the academic success of Peer Leaders in their own course work. </w:t>
      </w:r>
      <w:r w:rsidR="007C01C3" w:rsidRPr="006D70EA">
        <w:rPr>
          <w:rFonts w:ascii="Garamond" w:hAnsi="Garamond" w:cs="Times New Roman"/>
          <w:bCs/>
        </w:rPr>
        <w:t>This</w:t>
      </w:r>
      <w:r w:rsidRPr="006D70EA">
        <w:rPr>
          <w:rFonts w:ascii="Garamond" w:hAnsi="Garamond" w:cs="Times New Roman"/>
          <w:bCs/>
        </w:rPr>
        <w:t xml:space="preserve"> analysis </w:t>
      </w:r>
      <w:r w:rsidR="007C01C3" w:rsidRPr="006D70EA">
        <w:rPr>
          <w:rFonts w:ascii="Garamond" w:hAnsi="Garamond" w:cs="Times New Roman"/>
          <w:bCs/>
        </w:rPr>
        <w:t>was performed on</w:t>
      </w:r>
      <w:r w:rsidRPr="006D70EA">
        <w:rPr>
          <w:rFonts w:ascii="Garamond" w:hAnsi="Garamond" w:cs="Times New Roman"/>
          <w:bCs/>
        </w:rPr>
        <w:t xml:space="preserve"> large enrollment upper-</w:t>
      </w:r>
      <w:r w:rsidR="007C01C3" w:rsidRPr="006D70EA">
        <w:rPr>
          <w:rFonts w:ascii="Garamond" w:hAnsi="Garamond" w:cs="Times New Roman"/>
          <w:bCs/>
        </w:rPr>
        <w:t>level</w:t>
      </w:r>
      <w:r w:rsidRPr="006D70EA">
        <w:rPr>
          <w:rFonts w:ascii="Garamond" w:hAnsi="Garamond" w:cs="Times New Roman"/>
          <w:bCs/>
        </w:rPr>
        <w:t xml:space="preserve"> courses </w:t>
      </w:r>
      <w:r w:rsidR="007C01C3" w:rsidRPr="006D70EA">
        <w:rPr>
          <w:rFonts w:ascii="Garamond" w:hAnsi="Garamond" w:cs="Times New Roman"/>
          <w:bCs/>
        </w:rPr>
        <w:t xml:space="preserve">which </w:t>
      </w:r>
      <w:r w:rsidRPr="006D70EA">
        <w:rPr>
          <w:rFonts w:ascii="Garamond" w:hAnsi="Garamond" w:cs="Times New Roman"/>
          <w:bCs/>
        </w:rPr>
        <w:t>indicate</w:t>
      </w:r>
      <w:r w:rsidR="007C01C3" w:rsidRPr="006D70EA">
        <w:rPr>
          <w:rFonts w:ascii="Garamond" w:hAnsi="Garamond" w:cs="Times New Roman"/>
          <w:bCs/>
        </w:rPr>
        <w:t>d</w:t>
      </w:r>
      <w:r w:rsidRPr="006D70EA">
        <w:rPr>
          <w:rFonts w:ascii="Garamond" w:hAnsi="Garamond" w:cs="Times New Roman"/>
          <w:bCs/>
        </w:rPr>
        <w:t xml:space="preserve"> up to a letter grade difference between Peer Leaders and non-Peer Leaders.</w:t>
      </w:r>
    </w:p>
    <w:p w:rsidR="006D70EA" w:rsidRDefault="006D70EA" w:rsidP="006D70EA">
      <w:pPr>
        <w:autoSpaceDE w:val="0"/>
        <w:autoSpaceDN w:val="0"/>
        <w:adjustRightInd w:val="0"/>
        <w:spacing w:after="0"/>
        <w:rPr>
          <w:rFonts w:ascii="Garamond" w:hAnsi="Garamond" w:cs="Times New Roman"/>
          <w:bCs/>
        </w:rPr>
      </w:pPr>
    </w:p>
    <w:p w:rsidR="001113EF" w:rsidRPr="006D70EA" w:rsidRDefault="00B97E00" w:rsidP="006D70EA">
      <w:pPr>
        <w:spacing w:after="0"/>
        <w:rPr>
          <w:rFonts w:ascii="Garamond" w:hAnsi="Garamond" w:cs="Times New Roman"/>
          <w:u w:val="single"/>
        </w:rPr>
      </w:pPr>
      <w:r w:rsidRPr="006D70EA">
        <w:rPr>
          <w:rFonts w:ascii="Garamond" w:hAnsi="Garamond" w:cs="Times New Roman"/>
          <w:u w:val="single"/>
        </w:rPr>
        <w:t>Introduction</w:t>
      </w:r>
    </w:p>
    <w:p w:rsidR="00B97E00" w:rsidRPr="006D70EA" w:rsidRDefault="00B97E00" w:rsidP="008A5FC7">
      <w:pPr>
        <w:autoSpaceDE w:val="0"/>
        <w:autoSpaceDN w:val="0"/>
        <w:adjustRightInd w:val="0"/>
        <w:spacing w:after="0"/>
        <w:ind w:firstLine="720"/>
        <w:rPr>
          <w:rFonts w:ascii="Garamond" w:hAnsi="Garamond" w:cs="Times New Roman"/>
          <w:bCs/>
        </w:rPr>
      </w:pPr>
      <w:r w:rsidRPr="006D70EA">
        <w:rPr>
          <w:rFonts w:ascii="Garamond" w:hAnsi="Garamond" w:cs="Times New Roman"/>
          <w:bCs/>
        </w:rPr>
        <w:t>Peer-Led Team Learning (PLTL) recruits motivated Science, Technology, Engineering, and Mathematics (STEM) students</w:t>
      </w:r>
      <w:r w:rsidR="008A5FC7">
        <w:rPr>
          <w:rFonts w:ascii="Garamond" w:hAnsi="Garamond" w:cs="Times New Roman"/>
          <w:bCs/>
        </w:rPr>
        <w:t xml:space="preserve"> </w:t>
      </w:r>
      <w:r w:rsidRPr="006D70EA">
        <w:rPr>
          <w:rFonts w:ascii="Garamond" w:hAnsi="Garamond" w:cs="Times New Roman"/>
          <w:bCs/>
        </w:rPr>
        <w:t>to act as group mentors. The group mentors</w:t>
      </w:r>
      <w:r w:rsidR="008A5FC7">
        <w:rPr>
          <w:rFonts w:ascii="Garamond" w:hAnsi="Garamond" w:cs="Times New Roman"/>
          <w:bCs/>
        </w:rPr>
        <w:t xml:space="preserve"> </w:t>
      </w:r>
      <w:r w:rsidRPr="006D70EA">
        <w:rPr>
          <w:rFonts w:ascii="Garamond" w:hAnsi="Garamond" w:cs="Times New Roman"/>
          <w:bCs/>
        </w:rPr>
        <w:t>are trained in pedagogical</w:t>
      </w:r>
      <w:r w:rsidR="008A5FC7">
        <w:rPr>
          <w:rFonts w:ascii="Garamond" w:hAnsi="Garamond" w:cs="Times New Roman"/>
          <w:bCs/>
        </w:rPr>
        <w:t xml:space="preserve"> </w:t>
      </w:r>
      <w:r w:rsidRPr="006D70EA">
        <w:rPr>
          <w:rFonts w:ascii="Garamond" w:hAnsi="Garamond" w:cs="Times New Roman"/>
          <w:bCs/>
        </w:rPr>
        <w:t>techniques, group dynamics, and scientific concepts.</w:t>
      </w:r>
      <w:r w:rsidR="008A5FC7">
        <w:rPr>
          <w:rFonts w:ascii="Garamond" w:hAnsi="Garamond" w:cs="Times New Roman"/>
          <w:bCs/>
        </w:rPr>
        <w:t xml:space="preserve"> </w:t>
      </w:r>
      <w:r w:rsidRPr="006D70EA">
        <w:rPr>
          <w:rFonts w:ascii="Garamond" w:hAnsi="Garamond" w:cs="Times New Roman"/>
          <w:bCs/>
        </w:rPr>
        <w:t>PLTL was</w:t>
      </w:r>
      <w:r w:rsidR="008A5FC7">
        <w:rPr>
          <w:rFonts w:ascii="Garamond" w:hAnsi="Garamond" w:cs="Times New Roman"/>
          <w:bCs/>
        </w:rPr>
        <w:t xml:space="preserve"> </w:t>
      </w:r>
      <w:r w:rsidRPr="006D70EA">
        <w:rPr>
          <w:rFonts w:ascii="Garamond" w:hAnsi="Garamond" w:cs="Times New Roman"/>
          <w:bCs/>
        </w:rPr>
        <w:t>originally a project implemented in response to the widespread concern</w:t>
      </w:r>
      <w:r w:rsidR="008A5FC7">
        <w:rPr>
          <w:rFonts w:ascii="Garamond" w:hAnsi="Garamond" w:cs="Times New Roman"/>
          <w:bCs/>
        </w:rPr>
        <w:t xml:space="preserve"> </w:t>
      </w:r>
      <w:r w:rsidRPr="006D70EA">
        <w:rPr>
          <w:rFonts w:ascii="Garamond" w:hAnsi="Garamond" w:cs="Times New Roman"/>
          <w:bCs/>
        </w:rPr>
        <w:t>about</w:t>
      </w:r>
      <w:r w:rsidR="008A5FC7">
        <w:rPr>
          <w:rFonts w:ascii="Garamond" w:hAnsi="Garamond" w:cs="Times New Roman"/>
          <w:bCs/>
        </w:rPr>
        <w:t xml:space="preserve"> </w:t>
      </w:r>
      <w:r w:rsidRPr="006D70EA">
        <w:rPr>
          <w:rFonts w:ascii="Garamond" w:hAnsi="Garamond" w:cs="Times New Roman"/>
          <w:bCs/>
        </w:rPr>
        <w:t>the quality of first year STEM education, poor test taking performance</w:t>
      </w:r>
      <w:r w:rsidR="008A5FC7">
        <w:rPr>
          <w:rFonts w:ascii="Garamond" w:hAnsi="Garamond" w:cs="Times New Roman"/>
          <w:bCs/>
        </w:rPr>
        <w:t xml:space="preserve"> </w:t>
      </w:r>
      <w:r w:rsidRPr="006D70EA">
        <w:rPr>
          <w:rFonts w:ascii="Garamond" w:hAnsi="Garamond" w:cs="Times New Roman"/>
          <w:bCs/>
        </w:rPr>
        <w:t>in</w:t>
      </w:r>
      <w:r w:rsidR="008A5FC7">
        <w:rPr>
          <w:rFonts w:ascii="Garamond" w:hAnsi="Garamond" w:cs="Times New Roman"/>
          <w:bCs/>
        </w:rPr>
        <w:t xml:space="preserve"> </w:t>
      </w:r>
      <w:r w:rsidRPr="006D70EA">
        <w:rPr>
          <w:rFonts w:ascii="Garamond" w:hAnsi="Garamond" w:cs="Times New Roman"/>
          <w:bCs/>
        </w:rPr>
        <w:t>science courses, and perceived inability to think critically in scientific</w:t>
      </w:r>
      <w:r w:rsidR="008A5FC7">
        <w:rPr>
          <w:rFonts w:ascii="Garamond" w:hAnsi="Garamond" w:cs="Times New Roman"/>
          <w:bCs/>
        </w:rPr>
        <w:t xml:space="preserve"> </w:t>
      </w:r>
      <w:r w:rsidRPr="006D70EA">
        <w:rPr>
          <w:rFonts w:ascii="Garamond" w:hAnsi="Garamond" w:cs="Times New Roman"/>
          <w:bCs/>
        </w:rPr>
        <w:t>scenarios</w:t>
      </w:r>
      <w:r w:rsidR="008A5FC7">
        <w:rPr>
          <w:rFonts w:ascii="Garamond" w:hAnsi="Garamond" w:cs="Times New Roman"/>
          <w:bCs/>
        </w:rPr>
        <w:t xml:space="preserve"> </w:t>
      </w:r>
      <w:r w:rsidRPr="006D70EA">
        <w:rPr>
          <w:rFonts w:ascii="Garamond" w:hAnsi="Garamond" w:cs="Times New Roman"/>
          <w:bCs/>
        </w:rPr>
        <w:t>at Florida International University (FIU).</w:t>
      </w:r>
    </w:p>
    <w:p w:rsidR="00B97E00" w:rsidRDefault="008A5FC7" w:rsidP="006D70EA">
      <w:pPr>
        <w:autoSpaceDE w:val="0"/>
        <w:autoSpaceDN w:val="0"/>
        <w:adjustRightInd w:val="0"/>
        <w:spacing w:after="0"/>
        <w:rPr>
          <w:rFonts w:ascii="Garamond" w:hAnsi="Garamond" w:cs="Times New Roman"/>
          <w:bCs/>
        </w:rPr>
      </w:pPr>
      <w:r>
        <w:rPr>
          <w:rFonts w:ascii="Garamond" w:hAnsi="Garamond" w:cs="Times New Roman"/>
          <w:bCs/>
        </w:rPr>
        <w:tab/>
      </w:r>
      <w:r w:rsidR="00FD6C19" w:rsidRPr="006D70EA">
        <w:rPr>
          <w:rFonts w:ascii="Garamond" w:hAnsi="Garamond" w:cs="Times New Roman"/>
          <w:bCs/>
        </w:rPr>
        <w:t xml:space="preserve">This </w:t>
      </w:r>
      <w:r w:rsidR="00B97E00" w:rsidRPr="006D70EA">
        <w:rPr>
          <w:rFonts w:ascii="Garamond" w:hAnsi="Garamond" w:cs="Times New Roman"/>
          <w:bCs/>
        </w:rPr>
        <w:t>student-centered learning paradigm is firmly rooted</w:t>
      </w:r>
      <w:r>
        <w:rPr>
          <w:rFonts w:ascii="Garamond" w:hAnsi="Garamond" w:cs="Times New Roman"/>
          <w:bCs/>
        </w:rPr>
        <w:t xml:space="preserve"> </w:t>
      </w:r>
      <w:r w:rsidR="00B97E00" w:rsidRPr="006D70EA">
        <w:rPr>
          <w:rFonts w:ascii="Garamond" w:hAnsi="Garamond" w:cs="Times New Roman"/>
          <w:bCs/>
        </w:rPr>
        <w:t xml:space="preserve">in active learning </w:t>
      </w:r>
      <w:proofErr w:type="gramStart"/>
      <w:r w:rsidR="00B97E00" w:rsidRPr="006D70EA">
        <w:rPr>
          <w:rFonts w:ascii="Garamond" w:hAnsi="Garamond" w:cs="Times New Roman"/>
          <w:bCs/>
        </w:rPr>
        <w:t>pedagogies</w:t>
      </w:r>
      <w:r>
        <w:rPr>
          <w:rFonts w:ascii="Garamond" w:hAnsi="Garamond" w:cs="Times New Roman"/>
          <w:bCs/>
        </w:rPr>
        <w:t xml:space="preserve"> </w:t>
      </w:r>
      <w:r w:rsidR="00B97E00" w:rsidRPr="006D70EA">
        <w:rPr>
          <w:rFonts w:ascii="Garamond" w:hAnsi="Garamond" w:cs="Times New Roman"/>
          <w:bCs/>
        </w:rPr>
        <w:t>,which</w:t>
      </w:r>
      <w:proofErr w:type="gramEnd"/>
      <w:r w:rsidR="00B97E00" w:rsidRPr="006D70EA">
        <w:rPr>
          <w:rFonts w:ascii="Garamond" w:hAnsi="Garamond" w:cs="Times New Roman"/>
          <w:bCs/>
        </w:rPr>
        <w:t xml:space="preserve"> provides students with the opportunity to</w:t>
      </w:r>
      <w:r>
        <w:rPr>
          <w:rFonts w:ascii="Garamond" w:hAnsi="Garamond" w:cs="Times New Roman"/>
          <w:bCs/>
        </w:rPr>
        <w:t xml:space="preserve"> </w:t>
      </w:r>
      <w:r w:rsidR="00B97E00" w:rsidRPr="006D70EA">
        <w:rPr>
          <w:rFonts w:ascii="Garamond" w:hAnsi="Garamond" w:cs="Times New Roman"/>
          <w:bCs/>
        </w:rPr>
        <w:t>build stronger</w:t>
      </w:r>
      <w:r>
        <w:rPr>
          <w:rFonts w:ascii="Garamond" w:hAnsi="Garamond" w:cs="Times New Roman"/>
          <w:bCs/>
        </w:rPr>
        <w:t xml:space="preserve"> </w:t>
      </w:r>
      <w:r w:rsidR="00B97E00" w:rsidRPr="006D70EA">
        <w:rPr>
          <w:rFonts w:ascii="Garamond" w:hAnsi="Garamond" w:cs="Times New Roman"/>
          <w:bCs/>
        </w:rPr>
        <w:t>foundations, focus on information retention, and make</w:t>
      </w:r>
      <w:r>
        <w:rPr>
          <w:rFonts w:ascii="Garamond" w:hAnsi="Garamond" w:cs="Times New Roman"/>
          <w:bCs/>
        </w:rPr>
        <w:t xml:space="preserve"> </w:t>
      </w:r>
      <w:r w:rsidR="00B97E00" w:rsidRPr="006D70EA">
        <w:rPr>
          <w:rFonts w:ascii="Garamond" w:hAnsi="Garamond" w:cs="Times New Roman"/>
          <w:bCs/>
        </w:rPr>
        <w:t>connections</w:t>
      </w:r>
      <w:r>
        <w:rPr>
          <w:rFonts w:ascii="Garamond" w:hAnsi="Garamond" w:cs="Times New Roman"/>
          <w:bCs/>
        </w:rPr>
        <w:t xml:space="preserve"> </w:t>
      </w:r>
      <w:r w:rsidR="00B97E00" w:rsidRPr="006D70EA">
        <w:rPr>
          <w:rFonts w:ascii="Garamond" w:hAnsi="Garamond" w:cs="Times New Roman"/>
          <w:bCs/>
        </w:rPr>
        <w:t>across concepts and disciplines. These tools equip students and</w:t>
      </w:r>
      <w:r>
        <w:rPr>
          <w:rFonts w:ascii="Garamond" w:hAnsi="Garamond" w:cs="Times New Roman"/>
          <w:bCs/>
        </w:rPr>
        <w:t xml:space="preserve"> </w:t>
      </w:r>
      <w:r w:rsidR="00B97E00" w:rsidRPr="006D70EA">
        <w:rPr>
          <w:rFonts w:ascii="Garamond" w:hAnsi="Garamond" w:cs="Times New Roman"/>
          <w:bCs/>
        </w:rPr>
        <w:t>prepare</w:t>
      </w:r>
      <w:r>
        <w:rPr>
          <w:rFonts w:ascii="Garamond" w:hAnsi="Garamond" w:cs="Times New Roman"/>
          <w:bCs/>
        </w:rPr>
        <w:t xml:space="preserve"> </w:t>
      </w:r>
      <w:r w:rsidR="00B97E00" w:rsidRPr="006D70EA">
        <w:rPr>
          <w:rFonts w:ascii="Garamond" w:hAnsi="Garamond" w:cs="Times New Roman"/>
          <w:bCs/>
        </w:rPr>
        <w:t>them for the learning they face throughout their collegiate careers and</w:t>
      </w:r>
      <w:r>
        <w:rPr>
          <w:rFonts w:ascii="Garamond" w:hAnsi="Garamond" w:cs="Times New Roman"/>
          <w:bCs/>
        </w:rPr>
        <w:t xml:space="preserve"> </w:t>
      </w:r>
      <w:r w:rsidR="00B97E00" w:rsidRPr="006D70EA">
        <w:rPr>
          <w:rFonts w:ascii="Garamond" w:hAnsi="Garamond" w:cs="Times New Roman"/>
          <w:bCs/>
        </w:rPr>
        <w:t>beyond.</w:t>
      </w:r>
      <w:r>
        <w:rPr>
          <w:rFonts w:ascii="Garamond" w:hAnsi="Garamond" w:cs="Times New Roman"/>
          <w:bCs/>
        </w:rPr>
        <w:t xml:space="preserve"> </w:t>
      </w:r>
      <w:r w:rsidR="00FD6C19" w:rsidRPr="006D70EA">
        <w:rPr>
          <w:rFonts w:ascii="Garamond" w:hAnsi="Garamond" w:cs="Times New Roman"/>
          <w:bCs/>
        </w:rPr>
        <w:t>FIU’s</w:t>
      </w:r>
      <w:r w:rsidR="00B97E00" w:rsidRPr="006D70EA">
        <w:rPr>
          <w:rFonts w:ascii="Garamond" w:hAnsi="Garamond" w:cs="Times New Roman"/>
          <w:bCs/>
        </w:rPr>
        <w:t xml:space="preserve"> PLTL centralized tiered-team group learning model is now well established</w:t>
      </w:r>
      <w:r>
        <w:rPr>
          <w:rFonts w:ascii="Garamond" w:hAnsi="Garamond" w:cs="Times New Roman"/>
          <w:bCs/>
        </w:rPr>
        <w:t xml:space="preserve"> </w:t>
      </w:r>
      <w:r w:rsidR="00B97E00" w:rsidRPr="006D70EA">
        <w:rPr>
          <w:rFonts w:ascii="Garamond" w:hAnsi="Garamond" w:cs="Times New Roman"/>
          <w:bCs/>
        </w:rPr>
        <w:t>and</w:t>
      </w:r>
      <w:r>
        <w:rPr>
          <w:rFonts w:ascii="Garamond" w:hAnsi="Garamond" w:cs="Times New Roman"/>
          <w:bCs/>
        </w:rPr>
        <w:t xml:space="preserve"> </w:t>
      </w:r>
      <w:r w:rsidR="00B97E00" w:rsidRPr="006D70EA">
        <w:rPr>
          <w:rFonts w:ascii="Garamond" w:hAnsi="Garamond" w:cs="Times New Roman"/>
          <w:bCs/>
        </w:rPr>
        <w:t>entrenched within the college incorporating over a dozen</w:t>
      </w:r>
      <w:r>
        <w:rPr>
          <w:rFonts w:ascii="Garamond" w:hAnsi="Garamond" w:cs="Times New Roman"/>
          <w:bCs/>
        </w:rPr>
        <w:t xml:space="preserve"> </w:t>
      </w:r>
      <w:r w:rsidR="00B97E00" w:rsidRPr="006D70EA">
        <w:rPr>
          <w:rFonts w:ascii="Garamond" w:hAnsi="Garamond" w:cs="Times New Roman"/>
          <w:bCs/>
        </w:rPr>
        <w:t>courses in the Biology Department (majors and non-majors,</w:t>
      </w:r>
      <w:r>
        <w:rPr>
          <w:rFonts w:ascii="Garamond" w:hAnsi="Garamond" w:cs="Times New Roman"/>
          <w:bCs/>
        </w:rPr>
        <w:t xml:space="preserve"> </w:t>
      </w:r>
      <w:r w:rsidR="00B97E00" w:rsidRPr="006D70EA">
        <w:rPr>
          <w:rFonts w:ascii="Garamond" w:hAnsi="Garamond" w:cs="Times New Roman"/>
          <w:bCs/>
        </w:rPr>
        <w:t>lower and upper-level</w:t>
      </w:r>
      <w:r>
        <w:rPr>
          <w:rFonts w:ascii="Garamond" w:hAnsi="Garamond" w:cs="Times New Roman"/>
          <w:bCs/>
        </w:rPr>
        <w:t xml:space="preserve"> </w:t>
      </w:r>
      <w:r w:rsidR="00B97E00" w:rsidRPr="006D70EA">
        <w:rPr>
          <w:rFonts w:ascii="Garamond" w:hAnsi="Garamond" w:cs="Times New Roman"/>
          <w:bCs/>
        </w:rPr>
        <w:t>courses).</w:t>
      </w:r>
    </w:p>
    <w:p w:rsidR="003E4F0B" w:rsidRDefault="003E4F0B" w:rsidP="006D70EA">
      <w:pPr>
        <w:autoSpaceDE w:val="0"/>
        <w:autoSpaceDN w:val="0"/>
        <w:adjustRightInd w:val="0"/>
        <w:spacing w:after="0"/>
        <w:rPr>
          <w:rFonts w:ascii="Garamond" w:hAnsi="Garamond" w:cs="Times New Roman"/>
          <w:bCs/>
        </w:rPr>
      </w:pPr>
    </w:p>
    <w:p w:rsidR="003E4F0B" w:rsidRPr="003E4F0B" w:rsidRDefault="003E4F0B" w:rsidP="006D70EA">
      <w:pPr>
        <w:autoSpaceDE w:val="0"/>
        <w:autoSpaceDN w:val="0"/>
        <w:adjustRightInd w:val="0"/>
        <w:spacing w:after="0"/>
        <w:rPr>
          <w:rFonts w:ascii="Garamond" w:hAnsi="Garamond" w:cs="Times New Roman"/>
          <w:bCs/>
        </w:rPr>
      </w:pPr>
      <w:r>
        <w:rPr>
          <w:rFonts w:ascii="Garamond" w:hAnsi="Garamond" w:cs="Times New Roman"/>
          <w:bCs/>
          <w:u w:val="single"/>
        </w:rPr>
        <w:t>Learning about Learning</w:t>
      </w:r>
    </w:p>
    <w:p w:rsidR="00B97E00" w:rsidRPr="006D70EA" w:rsidRDefault="008A5FC7" w:rsidP="006D70EA">
      <w:pPr>
        <w:autoSpaceDE w:val="0"/>
        <w:autoSpaceDN w:val="0"/>
        <w:adjustRightInd w:val="0"/>
        <w:spacing w:after="0"/>
        <w:rPr>
          <w:rFonts w:ascii="Garamond" w:hAnsi="Garamond" w:cs="Times New Roman"/>
          <w:bCs/>
        </w:rPr>
      </w:pPr>
      <w:r>
        <w:rPr>
          <w:rFonts w:ascii="Garamond" w:hAnsi="Garamond" w:cs="Times New Roman"/>
          <w:bCs/>
        </w:rPr>
        <w:tab/>
      </w:r>
      <w:r w:rsidR="00B97E00" w:rsidRPr="006D70EA">
        <w:rPr>
          <w:rFonts w:ascii="Garamond" w:hAnsi="Garamond" w:cs="Times New Roman"/>
          <w:bCs/>
        </w:rPr>
        <w:t xml:space="preserve">One of the best ways to learn how to study is to learn about foundational elements of education. STEM undergraduate students have no pedagogy course requirement.  Peer Leaders (PLs) during their apprenticeship learn the fundamentals of education. This gives these students an opportunity to acquire true understanding of a students’ learning process. Therefore, by learning about learning this helps them understand how they, in turn, learn. This advantage allows PLs to be more metacognitive about their own </w:t>
      </w:r>
      <w:r w:rsidR="00B97E00" w:rsidRPr="006D70EA">
        <w:rPr>
          <w:rFonts w:ascii="Garamond" w:hAnsi="Garamond" w:cs="Times New Roman"/>
          <w:bCs/>
        </w:rPr>
        <w:lastRenderedPageBreak/>
        <w:t xml:space="preserve">learning in their STEM courses, which should result in higher performance and retention. Students retain information for the long term more effectively when they engage in an activity where they actively say and do something. One of the best ways to learn is to teach or facilitate that content to others. PLs should perform better because they run discussions with their peers about subjects related to their undergraduate degree and are trained to do so properly. </w:t>
      </w:r>
    </w:p>
    <w:p w:rsidR="00B97E00" w:rsidRPr="006D70EA" w:rsidRDefault="008A5FC7" w:rsidP="008A5FC7">
      <w:pPr>
        <w:autoSpaceDE w:val="0"/>
        <w:autoSpaceDN w:val="0"/>
        <w:adjustRightInd w:val="0"/>
        <w:spacing w:after="0"/>
        <w:rPr>
          <w:rFonts w:ascii="Garamond" w:hAnsi="Garamond" w:cs="Times New Roman"/>
          <w:bCs/>
        </w:rPr>
      </w:pPr>
      <w:r>
        <w:rPr>
          <w:rFonts w:ascii="Garamond" w:hAnsi="Garamond" w:cs="Times New Roman"/>
          <w:bCs/>
        </w:rPr>
        <w:tab/>
      </w:r>
      <w:r w:rsidR="00B97E00" w:rsidRPr="006D70EA">
        <w:rPr>
          <w:rFonts w:ascii="Garamond" w:hAnsi="Garamond" w:cs="Times New Roman"/>
          <w:bCs/>
        </w:rPr>
        <w:t>PLs are required to attend a pre-semester orientation regardless of whether they are a first time</w:t>
      </w:r>
      <w:r>
        <w:rPr>
          <w:rFonts w:ascii="Garamond" w:hAnsi="Garamond" w:cs="Times New Roman"/>
          <w:bCs/>
        </w:rPr>
        <w:t xml:space="preserve"> </w:t>
      </w:r>
      <w:r w:rsidR="00B97E00" w:rsidRPr="006D70EA">
        <w:rPr>
          <w:rFonts w:ascii="Garamond" w:hAnsi="Garamond" w:cs="Times New Roman"/>
          <w:bCs/>
        </w:rPr>
        <w:t>PL or a PL returning for their 10</w:t>
      </w:r>
      <w:r w:rsidR="00B97E00" w:rsidRPr="006D70EA">
        <w:rPr>
          <w:rFonts w:ascii="Garamond" w:hAnsi="Garamond" w:cs="Times New Roman"/>
          <w:bCs/>
          <w:vertAlign w:val="superscript"/>
        </w:rPr>
        <w:t>th</w:t>
      </w:r>
      <w:r w:rsidR="00B97E00" w:rsidRPr="006D70EA">
        <w:rPr>
          <w:rFonts w:ascii="Garamond" w:hAnsi="Garamond" w:cs="Times New Roman"/>
          <w:bCs/>
        </w:rPr>
        <w:t xml:space="preserve"> semester. </w:t>
      </w:r>
      <w:r w:rsidR="007C01C3" w:rsidRPr="006D70EA">
        <w:rPr>
          <w:rFonts w:ascii="Garamond" w:hAnsi="Garamond" w:cs="Times New Roman"/>
          <w:bCs/>
        </w:rPr>
        <w:t>Tailoring</w:t>
      </w:r>
      <w:r w:rsidR="00B97E00" w:rsidRPr="006D70EA">
        <w:rPr>
          <w:rFonts w:ascii="Garamond" w:hAnsi="Garamond" w:cs="Times New Roman"/>
          <w:bCs/>
        </w:rPr>
        <w:t xml:space="preserve"> orientation to the experience of PLs </w:t>
      </w:r>
      <w:r w:rsidR="007C01C3" w:rsidRPr="006D70EA">
        <w:rPr>
          <w:rFonts w:ascii="Garamond" w:hAnsi="Garamond" w:cs="Times New Roman"/>
          <w:bCs/>
        </w:rPr>
        <w:t>ensures</w:t>
      </w:r>
      <w:r w:rsidR="00B97E00" w:rsidRPr="006D70EA">
        <w:rPr>
          <w:rFonts w:ascii="Garamond" w:hAnsi="Garamond" w:cs="Times New Roman"/>
          <w:bCs/>
        </w:rPr>
        <w:t xml:space="preserve"> participants gain valuable knowledge regardless of their prior participation. Separate workshops are designed to enhance the PL’s pedagogical foundations. New PLs attend an entry-level session called the “Foundations of Pedagogy” workshop. Second semester PLs attend an “Intermediate Pedagogy” workshop. </w:t>
      </w:r>
      <w:r w:rsidR="00FD6C19" w:rsidRPr="006D70EA">
        <w:rPr>
          <w:rFonts w:ascii="Garamond" w:hAnsi="Garamond" w:cs="Times New Roman"/>
          <w:bCs/>
        </w:rPr>
        <w:t>PLs</w:t>
      </w:r>
      <w:r>
        <w:rPr>
          <w:rFonts w:ascii="Garamond" w:hAnsi="Garamond" w:cs="Times New Roman"/>
          <w:bCs/>
        </w:rPr>
        <w:t xml:space="preserve"> </w:t>
      </w:r>
      <w:r w:rsidR="00CF7DAE" w:rsidRPr="006D70EA">
        <w:rPr>
          <w:rFonts w:ascii="Garamond" w:hAnsi="Garamond" w:cs="Times New Roman"/>
          <w:bCs/>
        </w:rPr>
        <w:t>serving t</w:t>
      </w:r>
      <w:r w:rsidR="007C01C3" w:rsidRPr="006D70EA">
        <w:rPr>
          <w:rFonts w:ascii="Garamond" w:hAnsi="Garamond" w:cs="Times New Roman"/>
          <w:bCs/>
        </w:rPr>
        <w:t>hree</w:t>
      </w:r>
      <w:r w:rsidR="00CF7DAE" w:rsidRPr="006D70EA">
        <w:rPr>
          <w:rFonts w:ascii="Garamond" w:hAnsi="Garamond" w:cs="Times New Roman"/>
          <w:bCs/>
        </w:rPr>
        <w:t xml:space="preserve"> or more</w:t>
      </w:r>
      <w:r w:rsidR="00B97E00" w:rsidRPr="006D70EA">
        <w:rPr>
          <w:rFonts w:ascii="Garamond" w:hAnsi="Garamond" w:cs="Times New Roman"/>
          <w:bCs/>
        </w:rPr>
        <w:t xml:space="preserve"> semesters attend an “Advanced Pedagogy” workshop. </w:t>
      </w:r>
      <w:r w:rsidR="00CF7DAE" w:rsidRPr="006D70EA">
        <w:rPr>
          <w:rFonts w:ascii="Garamond" w:hAnsi="Garamond" w:cs="Times New Roman"/>
          <w:bCs/>
        </w:rPr>
        <w:t xml:space="preserve">New and experienced PLs </w:t>
      </w:r>
      <w:r w:rsidR="00B97E00" w:rsidRPr="006D70EA">
        <w:rPr>
          <w:rFonts w:ascii="Garamond" w:hAnsi="Garamond" w:cs="Times New Roman"/>
          <w:bCs/>
        </w:rPr>
        <w:t>attend the “Protocol and Administration” workshop, where the PLs are trained in their administrative duties</w:t>
      </w:r>
      <w:r w:rsidR="00CF7DAE" w:rsidRPr="006D70EA">
        <w:rPr>
          <w:rFonts w:ascii="Garamond" w:hAnsi="Garamond" w:cs="Times New Roman"/>
          <w:bCs/>
        </w:rPr>
        <w:t>. They also participate in</w:t>
      </w:r>
      <w:r>
        <w:rPr>
          <w:rFonts w:ascii="Garamond" w:hAnsi="Garamond" w:cs="Times New Roman"/>
          <w:bCs/>
        </w:rPr>
        <w:t xml:space="preserve"> </w:t>
      </w:r>
      <w:r w:rsidR="00B97E00" w:rsidRPr="006D70EA">
        <w:rPr>
          <w:rFonts w:ascii="Garamond" w:hAnsi="Garamond" w:cs="Times New Roman"/>
          <w:bCs/>
        </w:rPr>
        <w:t xml:space="preserve">“Mock Sessions” </w:t>
      </w:r>
      <w:r w:rsidR="00CF7DAE" w:rsidRPr="006D70EA">
        <w:rPr>
          <w:rFonts w:ascii="Garamond" w:hAnsi="Garamond" w:cs="Times New Roman"/>
          <w:bCs/>
        </w:rPr>
        <w:t xml:space="preserve">guided by experienced </w:t>
      </w:r>
      <w:proofErr w:type="spellStart"/>
      <w:r w:rsidR="007C01C3" w:rsidRPr="006D70EA">
        <w:rPr>
          <w:rFonts w:ascii="Garamond" w:hAnsi="Garamond" w:cs="Times New Roman"/>
          <w:bCs/>
        </w:rPr>
        <w:t>PLs</w:t>
      </w:r>
      <w:r w:rsidR="00B97E00" w:rsidRPr="006D70EA">
        <w:rPr>
          <w:rFonts w:ascii="Garamond" w:hAnsi="Garamond" w:cs="Times New Roman"/>
          <w:bCs/>
        </w:rPr>
        <w:t>.</w:t>
      </w:r>
      <w:proofErr w:type="spellEnd"/>
    </w:p>
    <w:p w:rsidR="00B97E00" w:rsidRPr="006D70EA" w:rsidRDefault="00B97E00" w:rsidP="008A5FC7">
      <w:pPr>
        <w:spacing w:after="0"/>
        <w:ind w:firstLine="720"/>
        <w:rPr>
          <w:rFonts w:ascii="Garamond" w:hAnsi="Garamond" w:cs="Times New Roman"/>
          <w:bCs/>
        </w:rPr>
      </w:pPr>
      <w:r w:rsidRPr="006D70EA">
        <w:rPr>
          <w:rFonts w:ascii="Garamond" w:hAnsi="Garamond" w:cs="Times New Roman"/>
          <w:bCs/>
        </w:rPr>
        <w:t>All PL training is run using active learning techniques. PL train</w:t>
      </w:r>
      <w:r w:rsidR="002E1F01" w:rsidRPr="006D70EA">
        <w:rPr>
          <w:rFonts w:ascii="Garamond" w:hAnsi="Garamond" w:cs="Times New Roman"/>
          <w:bCs/>
        </w:rPr>
        <w:t>ees</w:t>
      </w:r>
      <w:r w:rsidR="008A5FC7">
        <w:rPr>
          <w:rFonts w:ascii="Garamond" w:hAnsi="Garamond" w:cs="Times New Roman"/>
          <w:bCs/>
        </w:rPr>
        <w:t xml:space="preserve"> </w:t>
      </w:r>
      <w:r w:rsidR="002E1F01" w:rsidRPr="006D70EA">
        <w:rPr>
          <w:rFonts w:ascii="Garamond" w:hAnsi="Garamond" w:cs="Times New Roman"/>
          <w:bCs/>
        </w:rPr>
        <w:t>are modeled</w:t>
      </w:r>
      <w:r w:rsidRPr="006D70EA">
        <w:rPr>
          <w:rFonts w:ascii="Garamond" w:hAnsi="Garamond" w:cs="Times New Roman"/>
          <w:bCs/>
        </w:rPr>
        <w:t xml:space="preserve"> through experiences similar to situations they will encounter during their sessions. </w:t>
      </w:r>
      <w:r w:rsidR="002E1F01" w:rsidRPr="006D70EA">
        <w:rPr>
          <w:rFonts w:ascii="Garamond" w:hAnsi="Garamond" w:cs="Times New Roman"/>
          <w:bCs/>
        </w:rPr>
        <w:t>E</w:t>
      </w:r>
      <w:r w:rsidRPr="006D70EA">
        <w:rPr>
          <w:rFonts w:ascii="Garamond" w:hAnsi="Garamond" w:cs="Times New Roman"/>
          <w:bCs/>
        </w:rPr>
        <w:t xml:space="preserve">xperienced PLs </w:t>
      </w:r>
      <w:r w:rsidR="002E1F01" w:rsidRPr="006D70EA">
        <w:rPr>
          <w:rFonts w:ascii="Garamond" w:hAnsi="Garamond" w:cs="Times New Roman"/>
          <w:bCs/>
        </w:rPr>
        <w:t xml:space="preserve">are </w:t>
      </w:r>
      <w:r w:rsidRPr="006D70EA">
        <w:rPr>
          <w:rFonts w:ascii="Garamond" w:hAnsi="Garamond" w:cs="Times New Roman"/>
          <w:bCs/>
        </w:rPr>
        <w:t xml:space="preserve">present to serve as mentors to the novice </w:t>
      </w:r>
      <w:proofErr w:type="spellStart"/>
      <w:r w:rsidRPr="006D70EA">
        <w:rPr>
          <w:rFonts w:ascii="Garamond" w:hAnsi="Garamond" w:cs="Times New Roman"/>
          <w:bCs/>
        </w:rPr>
        <w:t>PLs</w:t>
      </w:r>
      <w:r w:rsidR="002E1F01" w:rsidRPr="006D70EA">
        <w:rPr>
          <w:rFonts w:ascii="Garamond" w:hAnsi="Garamond" w:cs="Times New Roman"/>
          <w:bCs/>
        </w:rPr>
        <w:t>.</w:t>
      </w:r>
      <w:proofErr w:type="spellEnd"/>
      <w:r w:rsidR="002E1F01" w:rsidRPr="006D70EA">
        <w:rPr>
          <w:rFonts w:ascii="Garamond" w:hAnsi="Garamond" w:cs="Times New Roman"/>
          <w:bCs/>
        </w:rPr>
        <w:t xml:space="preserve"> In doing so, they are able to</w:t>
      </w:r>
      <w:r w:rsidRPr="006D70EA">
        <w:rPr>
          <w:rFonts w:ascii="Garamond" w:hAnsi="Garamond" w:cs="Times New Roman"/>
          <w:bCs/>
        </w:rPr>
        <w:t xml:space="preserve"> fine tune their own skills. FIU PLs are required to at</w:t>
      </w:r>
      <w:r w:rsidR="00C73DD7" w:rsidRPr="006D70EA">
        <w:rPr>
          <w:rFonts w:ascii="Garamond" w:hAnsi="Garamond" w:cs="Times New Roman"/>
          <w:bCs/>
        </w:rPr>
        <w:t xml:space="preserve">tend orientation every semester to reinforce the retention of the </w:t>
      </w:r>
      <w:r w:rsidRPr="006D70EA">
        <w:rPr>
          <w:rFonts w:ascii="Garamond" w:hAnsi="Garamond" w:cs="Times New Roman"/>
          <w:bCs/>
        </w:rPr>
        <w:t xml:space="preserve">major </w:t>
      </w:r>
      <w:r w:rsidR="00C73DD7" w:rsidRPr="006D70EA">
        <w:rPr>
          <w:rFonts w:ascii="Garamond" w:hAnsi="Garamond" w:cs="Times New Roman"/>
          <w:bCs/>
        </w:rPr>
        <w:t>features</w:t>
      </w:r>
      <w:r w:rsidR="008A5FC7">
        <w:rPr>
          <w:rFonts w:ascii="Garamond" w:hAnsi="Garamond" w:cs="Times New Roman"/>
          <w:bCs/>
        </w:rPr>
        <w:t xml:space="preserve"> </w:t>
      </w:r>
      <w:r w:rsidR="00C73DD7" w:rsidRPr="006D70EA">
        <w:rPr>
          <w:rFonts w:ascii="Garamond" w:hAnsi="Garamond" w:cs="Times New Roman"/>
          <w:bCs/>
        </w:rPr>
        <w:t>of the</w:t>
      </w:r>
      <w:r w:rsidRPr="006D70EA">
        <w:rPr>
          <w:rFonts w:ascii="Garamond" w:hAnsi="Garamond" w:cs="Times New Roman"/>
          <w:bCs/>
        </w:rPr>
        <w:t xml:space="preserve"> PLTL</w:t>
      </w:r>
      <w:r w:rsidR="00C73DD7" w:rsidRPr="006D70EA">
        <w:rPr>
          <w:rFonts w:ascii="Garamond" w:hAnsi="Garamond" w:cs="Times New Roman"/>
          <w:bCs/>
        </w:rPr>
        <w:t xml:space="preserve"> model</w:t>
      </w:r>
      <w:r w:rsidRPr="006D70EA">
        <w:rPr>
          <w:rFonts w:ascii="Garamond" w:hAnsi="Garamond" w:cs="Times New Roman"/>
          <w:bCs/>
        </w:rPr>
        <w:t>.</w:t>
      </w:r>
    </w:p>
    <w:p w:rsidR="00B97E00" w:rsidRPr="006D70EA" w:rsidRDefault="00B97E00" w:rsidP="006D70EA">
      <w:pPr>
        <w:spacing w:after="0"/>
        <w:rPr>
          <w:rFonts w:ascii="Garamond" w:hAnsi="Garamond" w:cs="Times New Roman"/>
          <w:bCs/>
        </w:rPr>
      </w:pPr>
      <w:r w:rsidRPr="006D70EA">
        <w:rPr>
          <w:rFonts w:ascii="Garamond" w:hAnsi="Garamond" w:cs="Times New Roman"/>
          <w:bCs/>
        </w:rPr>
        <w:t xml:space="preserve">Scaffolding is used throughout orientation to help the </w:t>
      </w:r>
      <w:r w:rsidR="00745A8E" w:rsidRPr="006D70EA">
        <w:rPr>
          <w:rFonts w:ascii="Garamond" w:hAnsi="Garamond" w:cs="Times New Roman"/>
          <w:bCs/>
        </w:rPr>
        <w:t>trainees</w:t>
      </w:r>
      <w:r w:rsidRPr="006D70EA">
        <w:rPr>
          <w:rFonts w:ascii="Garamond" w:hAnsi="Garamond" w:cs="Times New Roman"/>
          <w:bCs/>
        </w:rPr>
        <w:t xml:space="preserve"> gradually learn their role as a facilitator. Effective instructional scaffolding helps the student construct new knowledge by structuring the learning process for the student without telling the student exactly how to accomplish the task at hand.</w:t>
      </w:r>
      <w:r w:rsidR="008A5FC7">
        <w:rPr>
          <w:rFonts w:ascii="Garamond" w:hAnsi="Garamond" w:cs="Times New Roman"/>
          <w:bCs/>
        </w:rPr>
        <w:t xml:space="preserve"> </w:t>
      </w:r>
      <w:r w:rsidR="005E55E9" w:rsidRPr="006D70EA">
        <w:rPr>
          <w:rFonts w:ascii="Garamond" w:hAnsi="Garamond" w:cs="Times New Roman"/>
          <w:bCs/>
        </w:rPr>
        <w:t>In addition to scaffolding</w:t>
      </w:r>
      <w:r w:rsidR="00C73DD7" w:rsidRPr="006D70EA">
        <w:rPr>
          <w:rFonts w:ascii="Garamond" w:hAnsi="Garamond" w:cs="Times New Roman"/>
          <w:bCs/>
        </w:rPr>
        <w:t xml:space="preserve">, a trainees’ learning process is kept active throughout orientation. </w:t>
      </w:r>
      <w:r w:rsidRPr="006D70EA">
        <w:rPr>
          <w:rFonts w:ascii="Garamond" w:hAnsi="Garamond" w:cs="Times New Roman"/>
          <w:bCs/>
        </w:rPr>
        <w:t xml:space="preserve">By keeping the learning process active during training it helps the </w:t>
      </w:r>
      <w:r w:rsidR="00745A8E" w:rsidRPr="006D70EA">
        <w:rPr>
          <w:rFonts w:ascii="Garamond" w:hAnsi="Garamond" w:cs="Times New Roman"/>
          <w:bCs/>
        </w:rPr>
        <w:t xml:space="preserve">trainees </w:t>
      </w:r>
      <w:r w:rsidRPr="006D70EA">
        <w:rPr>
          <w:rFonts w:ascii="Garamond" w:hAnsi="Garamond" w:cs="Times New Roman"/>
          <w:bCs/>
        </w:rPr>
        <w:t>retain the learning goals of the session long term. Although direct instruction may seem momentarily more palatable, it can ultimately hinder the learning process and retention of the important information.</w:t>
      </w:r>
    </w:p>
    <w:p w:rsidR="00215686" w:rsidRPr="006D70EA" w:rsidRDefault="00215686" w:rsidP="008A5FC7">
      <w:pPr>
        <w:autoSpaceDE w:val="0"/>
        <w:autoSpaceDN w:val="0"/>
        <w:adjustRightInd w:val="0"/>
        <w:spacing w:after="0"/>
        <w:ind w:firstLine="720"/>
        <w:rPr>
          <w:rFonts w:ascii="Garamond" w:hAnsi="Garamond" w:cs="Times New Roman"/>
          <w:bCs/>
        </w:rPr>
      </w:pPr>
      <w:r w:rsidRPr="006D70EA">
        <w:rPr>
          <w:rFonts w:ascii="Garamond" w:hAnsi="Garamond" w:cs="Times New Roman"/>
          <w:bCs/>
        </w:rPr>
        <w:t xml:space="preserve">The </w:t>
      </w:r>
      <w:r w:rsidRPr="003E4F0B">
        <w:rPr>
          <w:rFonts w:ascii="Garamond" w:hAnsi="Garamond" w:cs="Times New Roman"/>
          <w:bCs/>
          <w:u w:val="single"/>
        </w:rPr>
        <w:t>Foundations of Pedagogy workshop</w:t>
      </w:r>
      <w:r w:rsidRPr="006D70EA">
        <w:rPr>
          <w:rFonts w:ascii="Garamond" w:hAnsi="Garamond" w:cs="Times New Roman"/>
          <w:bCs/>
        </w:rPr>
        <w:t xml:space="preserve"> is designed to introduce new PLs to the basic principles of teaching and learning. It is run as an active exploratory guide by expert PLs and program administrators. The </w:t>
      </w:r>
      <w:proofErr w:type="gramStart"/>
      <w:r w:rsidRPr="006D70EA">
        <w:rPr>
          <w:rFonts w:ascii="Garamond" w:hAnsi="Garamond" w:cs="Times New Roman"/>
          <w:bCs/>
        </w:rPr>
        <w:t xml:space="preserve">majority </w:t>
      </w:r>
      <w:r w:rsidR="005E55E9" w:rsidRPr="006D70EA">
        <w:rPr>
          <w:rFonts w:ascii="Garamond" w:hAnsi="Garamond" w:cs="Times New Roman"/>
          <w:bCs/>
        </w:rPr>
        <w:t xml:space="preserve">of </w:t>
      </w:r>
      <w:r w:rsidRPr="006D70EA">
        <w:rPr>
          <w:rFonts w:ascii="Garamond" w:hAnsi="Garamond" w:cs="Times New Roman"/>
          <w:bCs/>
        </w:rPr>
        <w:t>recruits</w:t>
      </w:r>
      <w:r w:rsidR="008A5FC7">
        <w:rPr>
          <w:rFonts w:ascii="Garamond" w:hAnsi="Garamond" w:cs="Times New Roman"/>
          <w:bCs/>
        </w:rPr>
        <w:t xml:space="preserve"> </w:t>
      </w:r>
      <w:r w:rsidRPr="006D70EA">
        <w:rPr>
          <w:rFonts w:ascii="Garamond" w:hAnsi="Garamond" w:cs="Times New Roman"/>
          <w:bCs/>
        </w:rPr>
        <w:t>have</w:t>
      </w:r>
      <w:proofErr w:type="gramEnd"/>
      <w:r w:rsidRPr="006D70EA">
        <w:rPr>
          <w:rFonts w:ascii="Garamond" w:hAnsi="Garamond" w:cs="Times New Roman"/>
          <w:bCs/>
        </w:rPr>
        <w:t xml:space="preserve"> experienced PLTL as students, but are less aware of the role the PL should play in the workshop</w:t>
      </w:r>
      <w:r w:rsidR="005E55E9" w:rsidRPr="006D70EA">
        <w:rPr>
          <w:rFonts w:ascii="Garamond" w:hAnsi="Garamond" w:cs="Times New Roman"/>
          <w:bCs/>
        </w:rPr>
        <w:t>.</w:t>
      </w:r>
      <w:r w:rsidR="008A5FC7">
        <w:rPr>
          <w:rFonts w:ascii="Garamond" w:hAnsi="Garamond" w:cs="Times New Roman"/>
          <w:bCs/>
        </w:rPr>
        <w:t xml:space="preserve"> </w:t>
      </w:r>
      <w:r w:rsidR="005E55E9" w:rsidRPr="006D70EA">
        <w:rPr>
          <w:rFonts w:ascii="Garamond" w:hAnsi="Garamond" w:cs="Times New Roman"/>
          <w:bCs/>
        </w:rPr>
        <w:t>PL</w:t>
      </w:r>
      <w:r w:rsidR="002E1F01" w:rsidRPr="006D70EA">
        <w:rPr>
          <w:rFonts w:ascii="Garamond" w:hAnsi="Garamond" w:cs="Times New Roman"/>
          <w:bCs/>
        </w:rPr>
        <w:t xml:space="preserve">s are presented with </w:t>
      </w:r>
      <w:r w:rsidRPr="006D70EA">
        <w:rPr>
          <w:rFonts w:ascii="Garamond" w:hAnsi="Garamond" w:cs="Times New Roman"/>
          <w:bCs/>
        </w:rPr>
        <w:t>the reasoning for the workshop model. Trainees are split into small groups with at least one experienced PL</w:t>
      </w:r>
      <w:r w:rsidR="008A5FC7">
        <w:rPr>
          <w:rFonts w:ascii="Garamond" w:hAnsi="Garamond" w:cs="Times New Roman"/>
          <w:bCs/>
        </w:rPr>
        <w:t xml:space="preserve"> </w:t>
      </w:r>
      <w:r w:rsidRPr="006D70EA">
        <w:rPr>
          <w:rFonts w:ascii="Garamond" w:hAnsi="Garamond" w:cs="Times New Roman"/>
          <w:bCs/>
        </w:rPr>
        <w:t xml:space="preserve">who acts as the discussion facilitator during </w:t>
      </w:r>
      <w:r w:rsidR="005E55E9" w:rsidRPr="006D70EA">
        <w:rPr>
          <w:rFonts w:ascii="Garamond" w:hAnsi="Garamond" w:cs="Times New Roman"/>
          <w:bCs/>
        </w:rPr>
        <w:t xml:space="preserve">the </w:t>
      </w:r>
      <w:r w:rsidRPr="006D70EA">
        <w:rPr>
          <w:rFonts w:ascii="Garamond" w:hAnsi="Garamond" w:cs="Times New Roman"/>
          <w:bCs/>
        </w:rPr>
        <w:t xml:space="preserve">workshop. It is important to note that each task must be discussed as a large group to consolidate ideas and supplant misconceptions. To address a variety of learning styles, it is imperative to have each small group write down the ideas discussed while they are working together. This facilitates the large group discussion. The use of large (20” x 23”) self-adhesive note pads or small white boards per group is recommended. </w:t>
      </w:r>
    </w:p>
    <w:p w:rsidR="00215686" w:rsidRPr="006D70EA" w:rsidRDefault="008A5FC7" w:rsidP="006D70EA">
      <w:pPr>
        <w:autoSpaceDE w:val="0"/>
        <w:autoSpaceDN w:val="0"/>
        <w:adjustRightInd w:val="0"/>
        <w:spacing w:after="0"/>
        <w:rPr>
          <w:rFonts w:ascii="Garamond" w:hAnsi="Garamond" w:cs="Times New Roman"/>
          <w:bCs/>
        </w:rPr>
      </w:pPr>
      <w:r>
        <w:rPr>
          <w:rFonts w:ascii="Garamond" w:hAnsi="Garamond" w:cs="Times New Roman"/>
          <w:bCs/>
        </w:rPr>
        <w:tab/>
      </w:r>
      <w:r w:rsidR="00745A8E" w:rsidRPr="006D70EA">
        <w:rPr>
          <w:rFonts w:ascii="Garamond" w:hAnsi="Garamond" w:cs="Times New Roman"/>
          <w:bCs/>
        </w:rPr>
        <w:t>Trainees</w:t>
      </w:r>
      <w:r>
        <w:rPr>
          <w:rFonts w:ascii="Garamond" w:hAnsi="Garamond" w:cs="Times New Roman"/>
          <w:bCs/>
        </w:rPr>
        <w:t xml:space="preserve"> </w:t>
      </w:r>
      <w:r w:rsidR="00215686" w:rsidRPr="006D70EA">
        <w:rPr>
          <w:rFonts w:ascii="Garamond" w:hAnsi="Garamond" w:cs="Times New Roman"/>
          <w:bCs/>
        </w:rPr>
        <w:t xml:space="preserve">are first directed to define the terms Peer, Leader, Team, and Learning in small groups. Defining these </w:t>
      </w:r>
      <w:r w:rsidR="005E55E9" w:rsidRPr="006D70EA">
        <w:rPr>
          <w:rFonts w:ascii="Garamond" w:hAnsi="Garamond" w:cs="Times New Roman"/>
          <w:bCs/>
        </w:rPr>
        <w:t>terms</w:t>
      </w:r>
      <w:r w:rsidR="00215686" w:rsidRPr="006D70EA">
        <w:rPr>
          <w:rFonts w:ascii="Garamond" w:hAnsi="Garamond" w:cs="Times New Roman"/>
          <w:bCs/>
        </w:rPr>
        <w:t xml:space="preserve"> helps </w:t>
      </w:r>
      <w:r w:rsidR="00745A8E" w:rsidRPr="006D70EA">
        <w:rPr>
          <w:rFonts w:ascii="Garamond" w:hAnsi="Garamond" w:cs="Times New Roman"/>
          <w:bCs/>
        </w:rPr>
        <w:t xml:space="preserve">trainees </w:t>
      </w:r>
      <w:r w:rsidR="00215686" w:rsidRPr="006D70EA">
        <w:rPr>
          <w:rFonts w:ascii="Garamond" w:hAnsi="Garamond" w:cs="Times New Roman"/>
          <w:bCs/>
        </w:rPr>
        <w:t xml:space="preserve">realize their foundational goals as </w:t>
      </w:r>
      <w:proofErr w:type="spellStart"/>
      <w:r w:rsidR="00215686" w:rsidRPr="006D70EA">
        <w:rPr>
          <w:rFonts w:ascii="Garamond" w:hAnsi="Garamond" w:cs="Times New Roman"/>
          <w:bCs/>
        </w:rPr>
        <w:t>PLs.</w:t>
      </w:r>
      <w:proofErr w:type="spellEnd"/>
      <w:r w:rsidR="00215686" w:rsidRPr="006D70EA">
        <w:rPr>
          <w:rFonts w:ascii="Garamond" w:hAnsi="Garamond" w:cs="Times New Roman"/>
          <w:bCs/>
        </w:rPr>
        <w:t xml:space="preserve"> The activity reveals the pedagogical foundation of the workshop model.</w:t>
      </w:r>
      <w:r>
        <w:rPr>
          <w:rFonts w:ascii="Garamond" w:hAnsi="Garamond" w:cs="Times New Roman"/>
          <w:bCs/>
        </w:rPr>
        <w:t xml:space="preserve"> </w:t>
      </w:r>
      <w:r w:rsidR="00745A8E" w:rsidRPr="006D70EA">
        <w:rPr>
          <w:rFonts w:ascii="Garamond" w:hAnsi="Garamond" w:cs="Times New Roman"/>
          <w:bCs/>
        </w:rPr>
        <w:t xml:space="preserve">Trainees </w:t>
      </w:r>
      <w:r w:rsidR="00215686" w:rsidRPr="006D70EA">
        <w:rPr>
          <w:rFonts w:ascii="Garamond" w:hAnsi="Garamond" w:cs="Times New Roman"/>
          <w:bCs/>
        </w:rPr>
        <w:t xml:space="preserve">discuss memorable learning experiences. </w:t>
      </w:r>
      <w:r w:rsidR="005E55E9" w:rsidRPr="006D70EA">
        <w:rPr>
          <w:rFonts w:ascii="Garamond" w:hAnsi="Garamond" w:cs="Times New Roman"/>
        </w:rPr>
        <w:t>Those experiences are then discussed and relevant learning points are addressed.</w:t>
      </w:r>
      <w:r>
        <w:rPr>
          <w:rFonts w:ascii="Garamond" w:hAnsi="Garamond" w:cs="Times New Roman"/>
        </w:rPr>
        <w:t xml:space="preserve"> </w:t>
      </w:r>
      <w:r w:rsidR="00EE27DF" w:rsidRPr="006D70EA">
        <w:rPr>
          <w:rFonts w:ascii="Garamond" w:hAnsi="Garamond" w:cs="Times New Roman"/>
          <w:bCs/>
        </w:rPr>
        <w:t>In small groups</w:t>
      </w:r>
      <w:r w:rsidR="00215686" w:rsidRPr="006D70EA">
        <w:rPr>
          <w:rFonts w:ascii="Garamond" w:hAnsi="Garamond" w:cs="Times New Roman"/>
          <w:bCs/>
        </w:rPr>
        <w:t xml:space="preserve">, </w:t>
      </w:r>
      <w:r w:rsidR="00745A8E" w:rsidRPr="006D70EA">
        <w:rPr>
          <w:rFonts w:ascii="Garamond" w:hAnsi="Garamond" w:cs="Times New Roman"/>
          <w:bCs/>
        </w:rPr>
        <w:t>trainees</w:t>
      </w:r>
      <w:r>
        <w:rPr>
          <w:rFonts w:ascii="Garamond" w:hAnsi="Garamond" w:cs="Times New Roman"/>
          <w:bCs/>
        </w:rPr>
        <w:t xml:space="preserve"> </w:t>
      </w:r>
      <w:r w:rsidR="00215686" w:rsidRPr="006D70EA">
        <w:rPr>
          <w:rFonts w:ascii="Garamond" w:hAnsi="Garamond" w:cs="Times New Roman"/>
          <w:bCs/>
        </w:rPr>
        <w:t>are instructed to list examples of good and bad learning experience</w:t>
      </w:r>
      <w:r w:rsidR="00EE27DF" w:rsidRPr="006D70EA">
        <w:rPr>
          <w:rFonts w:ascii="Garamond" w:hAnsi="Garamond" w:cs="Times New Roman"/>
          <w:bCs/>
        </w:rPr>
        <w:t>s</w:t>
      </w:r>
      <w:r w:rsidR="00215686" w:rsidRPr="006D70EA">
        <w:rPr>
          <w:rFonts w:ascii="Garamond" w:hAnsi="Garamond" w:cs="Times New Roman"/>
          <w:bCs/>
        </w:rPr>
        <w:t xml:space="preserve">. </w:t>
      </w:r>
      <w:r w:rsidR="00EE27DF" w:rsidRPr="006D70EA">
        <w:rPr>
          <w:rFonts w:ascii="Garamond" w:hAnsi="Garamond" w:cs="Times New Roman"/>
          <w:bCs/>
        </w:rPr>
        <w:t>T</w:t>
      </w:r>
      <w:r w:rsidR="00745A8E" w:rsidRPr="006D70EA">
        <w:rPr>
          <w:rFonts w:ascii="Garamond" w:hAnsi="Garamond" w:cs="Times New Roman"/>
          <w:bCs/>
        </w:rPr>
        <w:t>rainees</w:t>
      </w:r>
      <w:r>
        <w:rPr>
          <w:rFonts w:ascii="Garamond" w:hAnsi="Garamond" w:cs="Times New Roman"/>
          <w:bCs/>
        </w:rPr>
        <w:t xml:space="preserve"> </w:t>
      </w:r>
      <w:r w:rsidR="00215686" w:rsidRPr="006D70EA">
        <w:rPr>
          <w:rFonts w:ascii="Garamond" w:hAnsi="Garamond" w:cs="Times New Roman"/>
          <w:bCs/>
        </w:rPr>
        <w:t>elaborate</w:t>
      </w:r>
      <w:r>
        <w:rPr>
          <w:rFonts w:ascii="Garamond" w:hAnsi="Garamond" w:cs="Times New Roman"/>
          <w:bCs/>
        </w:rPr>
        <w:t xml:space="preserve"> </w:t>
      </w:r>
      <w:r w:rsidR="00215686" w:rsidRPr="006D70EA">
        <w:rPr>
          <w:rFonts w:ascii="Garamond" w:hAnsi="Garamond" w:cs="Times New Roman"/>
          <w:bCs/>
        </w:rPr>
        <w:t>on the characteristics which make good and bad learning experience</w:t>
      </w:r>
      <w:r w:rsidR="00EE27DF" w:rsidRPr="006D70EA">
        <w:rPr>
          <w:rFonts w:ascii="Garamond" w:hAnsi="Garamond" w:cs="Times New Roman"/>
          <w:bCs/>
        </w:rPr>
        <w:t>s</w:t>
      </w:r>
      <w:r w:rsidR="00215686" w:rsidRPr="006D70EA">
        <w:rPr>
          <w:rFonts w:ascii="Garamond" w:hAnsi="Garamond" w:cs="Times New Roman"/>
          <w:bCs/>
        </w:rPr>
        <w:t xml:space="preserve">. This exercise allows the </w:t>
      </w:r>
      <w:r w:rsidR="00834196" w:rsidRPr="006D70EA">
        <w:rPr>
          <w:rFonts w:ascii="Garamond" w:hAnsi="Garamond" w:cs="Times New Roman"/>
          <w:bCs/>
        </w:rPr>
        <w:t>trainees</w:t>
      </w:r>
      <w:r>
        <w:rPr>
          <w:rFonts w:ascii="Garamond" w:hAnsi="Garamond" w:cs="Times New Roman"/>
          <w:bCs/>
        </w:rPr>
        <w:t xml:space="preserve"> </w:t>
      </w:r>
      <w:r w:rsidR="00215686" w:rsidRPr="006D70EA">
        <w:rPr>
          <w:rFonts w:ascii="Garamond" w:hAnsi="Garamond" w:cs="Times New Roman"/>
          <w:bCs/>
        </w:rPr>
        <w:t>to make connection</w:t>
      </w:r>
      <w:r w:rsidR="00EE27DF" w:rsidRPr="006D70EA">
        <w:rPr>
          <w:rFonts w:ascii="Garamond" w:hAnsi="Garamond" w:cs="Times New Roman"/>
          <w:bCs/>
        </w:rPr>
        <w:t>s</w:t>
      </w:r>
      <w:r w:rsidR="00215686" w:rsidRPr="006D70EA">
        <w:rPr>
          <w:rFonts w:ascii="Garamond" w:hAnsi="Garamond" w:cs="Times New Roman"/>
          <w:bCs/>
        </w:rPr>
        <w:t xml:space="preserve"> between their own experiences and the </w:t>
      </w:r>
      <w:r w:rsidR="00EE27DF" w:rsidRPr="006D70EA">
        <w:rPr>
          <w:rFonts w:ascii="Garamond" w:hAnsi="Garamond" w:cs="Times New Roman"/>
          <w:bCs/>
        </w:rPr>
        <w:t xml:space="preserve">new </w:t>
      </w:r>
      <w:r w:rsidR="00215686" w:rsidRPr="006D70EA">
        <w:rPr>
          <w:rFonts w:ascii="Garamond" w:hAnsi="Garamond" w:cs="Times New Roman"/>
          <w:bCs/>
        </w:rPr>
        <w:t xml:space="preserve">pedagogy. </w:t>
      </w:r>
    </w:p>
    <w:p w:rsidR="00215686" w:rsidRPr="006D70EA" w:rsidRDefault="008A5FC7" w:rsidP="006D70EA">
      <w:pPr>
        <w:autoSpaceDE w:val="0"/>
        <w:autoSpaceDN w:val="0"/>
        <w:adjustRightInd w:val="0"/>
        <w:spacing w:after="0"/>
        <w:rPr>
          <w:rFonts w:ascii="Garamond" w:hAnsi="Garamond" w:cs="Times New Roman"/>
          <w:bCs/>
        </w:rPr>
      </w:pPr>
      <w:r>
        <w:rPr>
          <w:rFonts w:ascii="Garamond" w:hAnsi="Garamond" w:cs="Times New Roman"/>
          <w:bCs/>
        </w:rPr>
        <w:tab/>
      </w:r>
      <w:r w:rsidR="00215686" w:rsidRPr="006D70EA">
        <w:rPr>
          <w:rFonts w:ascii="Garamond" w:hAnsi="Garamond" w:cs="Times New Roman"/>
          <w:bCs/>
        </w:rPr>
        <w:t xml:space="preserve">To be effective, PLs need to understand and be able to apply basic pedagogy in the classroom. They are expected to make a connection between their own experiences as students and good active learning practices. To accomplish this objective, </w:t>
      </w:r>
      <w:r w:rsidR="00745A8E" w:rsidRPr="006D70EA">
        <w:rPr>
          <w:rFonts w:ascii="Garamond" w:hAnsi="Garamond" w:cs="Times New Roman"/>
          <w:bCs/>
        </w:rPr>
        <w:t>trainees</w:t>
      </w:r>
      <w:r>
        <w:rPr>
          <w:rFonts w:ascii="Garamond" w:hAnsi="Garamond" w:cs="Times New Roman"/>
          <w:bCs/>
        </w:rPr>
        <w:t xml:space="preserve"> </w:t>
      </w:r>
      <w:r w:rsidR="00215686" w:rsidRPr="006D70EA">
        <w:rPr>
          <w:rFonts w:ascii="Garamond" w:hAnsi="Garamond" w:cs="Times New Roman"/>
          <w:bCs/>
        </w:rPr>
        <w:t xml:space="preserve">compare and contrast active and passive learning activities, identifying examples of each. </w:t>
      </w:r>
      <w:r w:rsidR="00745A8E" w:rsidRPr="006D70EA">
        <w:rPr>
          <w:rFonts w:ascii="Garamond" w:hAnsi="Garamond" w:cs="Times New Roman"/>
          <w:bCs/>
        </w:rPr>
        <w:t>Trainees</w:t>
      </w:r>
      <w:r>
        <w:rPr>
          <w:rFonts w:ascii="Garamond" w:hAnsi="Garamond" w:cs="Times New Roman"/>
          <w:bCs/>
        </w:rPr>
        <w:t xml:space="preserve"> </w:t>
      </w:r>
      <w:r w:rsidR="00215686" w:rsidRPr="006D70EA">
        <w:rPr>
          <w:rFonts w:ascii="Garamond" w:hAnsi="Garamond" w:cs="Times New Roman"/>
          <w:bCs/>
        </w:rPr>
        <w:t>use this knowledge to make the connection to the Cone of Learning and effective pedagogical practices</w:t>
      </w:r>
      <w:r w:rsidR="00731A37" w:rsidRPr="006D70EA">
        <w:rPr>
          <w:rFonts w:ascii="Garamond" w:hAnsi="Garamond" w:cs="Times New Roman"/>
          <w:bCs/>
        </w:rPr>
        <w:t xml:space="preserve"> (</w:t>
      </w:r>
      <w:r w:rsidR="00C534E3" w:rsidRPr="006D70EA">
        <w:rPr>
          <w:rFonts w:ascii="Garamond" w:hAnsi="Garamond" w:cs="Times New Roman"/>
          <w:bCs/>
        </w:rPr>
        <w:t>Dale, 1969</w:t>
      </w:r>
      <w:r w:rsidR="00731A37" w:rsidRPr="006D70EA">
        <w:rPr>
          <w:rFonts w:ascii="Garamond" w:hAnsi="Garamond" w:cs="Times New Roman"/>
          <w:bCs/>
        </w:rPr>
        <w:t>)</w:t>
      </w:r>
      <w:r w:rsidR="00215686" w:rsidRPr="006D70EA">
        <w:rPr>
          <w:rFonts w:ascii="Garamond" w:hAnsi="Garamond" w:cs="Times New Roman"/>
          <w:bCs/>
        </w:rPr>
        <w:t>.</w:t>
      </w:r>
    </w:p>
    <w:p w:rsidR="00215686" w:rsidRPr="006D70EA" w:rsidRDefault="008A5FC7" w:rsidP="006D70EA">
      <w:pPr>
        <w:spacing w:after="0"/>
        <w:rPr>
          <w:rFonts w:ascii="Garamond" w:hAnsi="Garamond" w:cs="Times New Roman"/>
          <w:bCs/>
        </w:rPr>
      </w:pPr>
      <w:r>
        <w:rPr>
          <w:rFonts w:ascii="Garamond" w:hAnsi="Garamond" w:cs="Times New Roman"/>
        </w:rPr>
        <w:lastRenderedPageBreak/>
        <w:tab/>
      </w:r>
      <w:r w:rsidR="00215686" w:rsidRPr="006D70EA">
        <w:rPr>
          <w:rFonts w:ascii="Garamond" w:hAnsi="Garamond" w:cs="Times New Roman"/>
        </w:rPr>
        <w:t>PLs facilitate workshop progress through the use of questions.</w:t>
      </w:r>
      <w:r>
        <w:rPr>
          <w:rFonts w:ascii="Garamond" w:hAnsi="Garamond" w:cs="Times New Roman"/>
        </w:rPr>
        <w:t xml:space="preserve"> </w:t>
      </w:r>
      <w:r w:rsidR="00EE27DF" w:rsidRPr="006D70EA">
        <w:rPr>
          <w:rFonts w:ascii="Garamond" w:hAnsi="Garamond" w:cs="Times New Roman"/>
          <w:bCs/>
        </w:rPr>
        <w:t>Initially, this is difficult for students not used to the Socratic Method</w:t>
      </w:r>
      <w:r w:rsidR="00745A8E" w:rsidRPr="006D70EA">
        <w:rPr>
          <w:rFonts w:ascii="Garamond" w:hAnsi="Garamond" w:cs="Times New Roman"/>
          <w:bCs/>
        </w:rPr>
        <w:t xml:space="preserve">. PLs are carefully </w:t>
      </w:r>
      <w:proofErr w:type="spellStart"/>
      <w:r w:rsidR="00215686" w:rsidRPr="006D70EA">
        <w:rPr>
          <w:rFonts w:ascii="Garamond" w:hAnsi="Garamond" w:cs="Times New Roman"/>
          <w:bCs/>
        </w:rPr>
        <w:t>scaffold</w:t>
      </w:r>
      <w:r w:rsidR="00745A8E" w:rsidRPr="006D70EA">
        <w:rPr>
          <w:rFonts w:ascii="Garamond" w:hAnsi="Garamond" w:cs="Times New Roman"/>
          <w:bCs/>
        </w:rPr>
        <w:t>ed</w:t>
      </w:r>
      <w:proofErr w:type="spellEnd"/>
      <w:r w:rsidR="00215686" w:rsidRPr="006D70EA">
        <w:rPr>
          <w:rFonts w:ascii="Garamond" w:hAnsi="Garamond" w:cs="Times New Roman"/>
          <w:bCs/>
        </w:rPr>
        <w:t xml:space="preserve"> and model</w:t>
      </w:r>
      <w:r w:rsidR="00745A8E" w:rsidRPr="006D70EA">
        <w:rPr>
          <w:rFonts w:ascii="Garamond" w:hAnsi="Garamond" w:cs="Times New Roman"/>
          <w:bCs/>
        </w:rPr>
        <w:t>ed</w:t>
      </w:r>
      <w:r>
        <w:rPr>
          <w:rFonts w:ascii="Garamond" w:hAnsi="Garamond" w:cs="Times New Roman"/>
          <w:bCs/>
        </w:rPr>
        <w:t xml:space="preserve"> </w:t>
      </w:r>
      <w:r w:rsidR="00EE27DF" w:rsidRPr="006D70EA">
        <w:rPr>
          <w:rFonts w:ascii="Garamond" w:hAnsi="Garamond" w:cs="Times New Roman"/>
          <w:bCs/>
        </w:rPr>
        <w:t>in the construction</w:t>
      </w:r>
      <w:r w:rsidR="00215686" w:rsidRPr="006D70EA">
        <w:rPr>
          <w:rFonts w:ascii="Garamond" w:hAnsi="Garamond" w:cs="Times New Roman"/>
          <w:bCs/>
        </w:rPr>
        <w:t xml:space="preserve"> and use different types of</w:t>
      </w:r>
      <w:r w:rsidR="00745A8E" w:rsidRPr="006D70EA">
        <w:rPr>
          <w:rFonts w:ascii="Garamond" w:hAnsi="Garamond" w:cs="Times New Roman"/>
          <w:bCs/>
        </w:rPr>
        <w:t xml:space="preserve"> questions. PLs </w:t>
      </w:r>
      <w:r w:rsidR="00EE27DF" w:rsidRPr="006D70EA">
        <w:rPr>
          <w:rFonts w:ascii="Garamond" w:hAnsi="Garamond" w:cs="Times New Roman"/>
          <w:bCs/>
        </w:rPr>
        <w:t>learn</w:t>
      </w:r>
      <w:r w:rsidR="00745A8E" w:rsidRPr="006D70EA">
        <w:rPr>
          <w:rFonts w:ascii="Garamond" w:hAnsi="Garamond" w:cs="Times New Roman"/>
          <w:bCs/>
        </w:rPr>
        <w:t xml:space="preserve"> to differentiate between open and closed question</w:t>
      </w:r>
      <w:r w:rsidR="00EE27DF" w:rsidRPr="006D70EA">
        <w:rPr>
          <w:rFonts w:ascii="Garamond" w:hAnsi="Garamond" w:cs="Times New Roman"/>
          <w:bCs/>
        </w:rPr>
        <w:t>s</w:t>
      </w:r>
      <w:r w:rsidR="00745A8E" w:rsidRPr="006D70EA">
        <w:rPr>
          <w:rFonts w:ascii="Garamond" w:hAnsi="Garamond" w:cs="Times New Roman"/>
          <w:bCs/>
        </w:rPr>
        <w:t>.</w:t>
      </w:r>
      <w:r>
        <w:rPr>
          <w:rFonts w:ascii="Garamond" w:hAnsi="Garamond" w:cs="Times New Roman"/>
          <w:bCs/>
        </w:rPr>
        <w:t xml:space="preserve"> </w:t>
      </w:r>
      <w:r w:rsidR="00745A8E" w:rsidRPr="006D70EA">
        <w:rPr>
          <w:rFonts w:ascii="Garamond" w:hAnsi="Garamond" w:cs="Times New Roman"/>
          <w:bCs/>
        </w:rPr>
        <w:t xml:space="preserve">The importance of using open-ended questions serves to facilitate peer-to-peer conversation and to accomplish student learning objectives. PLs need to vary their level of questioning, based on Bloom’s Taxonomy, to ensure basic critical thinking skills. </w:t>
      </w:r>
      <w:r w:rsidR="00EE27DF" w:rsidRPr="006D70EA">
        <w:rPr>
          <w:rFonts w:ascii="Garamond" w:hAnsi="Garamond" w:cs="Times New Roman"/>
          <w:bCs/>
        </w:rPr>
        <w:t>T</w:t>
      </w:r>
      <w:r w:rsidR="00745A8E" w:rsidRPr="006D70EA">
        <w:rPr>
          <w:rFonts w:ascii="Garamond" w:hAnsi="Garamond" w:cs="Times New Roman"/>
          <w:bCs/>
        </w:rPr>
        <w:t>rainees</w:t>
      </w:r>
      <w:r>
        <w:rPr>
          <w:rFonts w:ascii="Garamond" w:hAnsi="Garamond" w:cs="Times New Roman"/>
          <w:bCs/>
        </w:rPr>
        <w:t xml:space="preserve"> </w:t>
      </w:r>
      <w:r w:rsidR="00EE27DF" w:rsidRPr="006D70EA">
        <w:rPr>
          <w:rFonts w:ascii="Garamond" w:hAnsi="Garamond" w:cs="Times New Roman"/>
          <w:bCs/>
        </w:rPr>
        <w:t xml:space="preserve">practice </w:t>
      </w:r>
      <w:r w:rsidR="00745A8E" w:rsidRPr="006D70EA">
        <w:rPr>
          <w:rFonts w:ascii="Garamond" w:hAnsi="Garamond" w:cs="Times New Roman"/>
          <w:bCs/>
        </w:rPr>
        <w:t xml:space="preserve">the difference between knowledge, comprehension and critical thinking based questioning, which assists PLs to achieve these </w:t>
      </w:r>
      <w:proofErr w:type="gramStart"/>
      <w:r w:rsidR="00745A8E" w:rsidRPr="006D70EA">
        <w:rPr>
          <w:rFonts w:ascii="Garamond" w:hAnsi="Garamond" w:cs="Times New Roman"/>
          <w:bCs/>
        </w:rPr>
        <w:t>goals</w:t>
      </w:r>
      <w:r w:rsidR="00731A37" w:rsidRPr="006D70EA">
        <w:rPr>
          <w:rFonts w:ascii="Garamond" w:hAnsi="Garamond" w:cs="Times New Roman"/>
          <w:bCs/>
        </w:rPr>
        <w:t>(</w:t>
      </w:r>
      <w:proofErr w:type="gramEnd"/>
      <w:r w:rsidR="00C534E3" w:rsidRPr="006D70EA">
        <w:rPr>
          <w:rFonts w:ascii="Garamond" w:hAnsi="Garamond" w:cs="Times New Roman"/>
          <w:bCs/>
        </w:rPr>
        <w:t>Bloom, 1956</w:t>
      </w:r>
      <w:r w:rsidR="00731A37" w:rsidRPr="006D70EA">
        <w:rPr>
          <w:rFonts w:ascii="Garamond" w:hAnsi="Garamond" w:cs="Times New Roman"/>
          <w:bCs/>
        </w:rPr>
        <w:t>)</w:t>
      </w:r>
      <w:r w:rsidR="00745A8E" w:rsidRPr="006D70EA">
        <w:rPr>
          <w:rFonts w:ascii="Garamond" w:hAnsi="Garamond" w:cs="Times New Roman"/>
          <w:bCs/>
        </w:rPr>
        <w:t>.</w:t>
      </w:r>
    </w:p>
    <w:p w:rsidR="00745A8E" w:rsidRPr="006D70EA" w:rsidRDefault="00745A8E" w:rsidP="008A5FC7">
      <w:pPr>
        <w:autoSpaceDE w:val="0"/>
        <w:autoSpaceDN w:val="0"/>
        <w:adjustRightInd w:val="0"/>
        <w:spacing w:after="0"/>
        <w:ind w:firstLine="720"/>
        <w:rPr>
          <w:rFonts w:ascii="Garamond" w:hAnsi="Garamond" w:cs="Times New Roman"/>
          <w:bCs/>
        </w:rPr>
      </w:pPr>
      <w:r w:rsidRPr="006D70EA">
        <w:rPr>
          <w:rFonts w:ascii="Garamond" w:hAnsi="Garamond" w:cs="Times New Roman"/>
          <w:bCs/>
        </w:rPr>
        <w:t xml:space="preserve">The </w:t>
      </w:r>
      <w:r w:rsidRPr="003E4F0B">
        <w:rPr>
          <w:rFonts w:ascii="Garamond" w:hAnsi="Garamond" w:cs="Times New Roman"/>
          <w:bCs/>
          <w:u w:val="single"/>
        </w:rPr>
        <w:t>Intermediate Pedagogy workshop</w:t>
      </w:r>
      <w:r w:rsidRPr="006D70EA">
        <w:rPr>
          <w:rFonts w:ascii="Garamond" w:hAnsi="Garamond" w:cs="Times New Roman"/>
          <w:bCs/>
        </w:rPr>
        <w:t xml:space="preserve"> addresses specific pedagogical strategies that can be implemented in any classroom setting. </w:t>
      </w:r>
      <w:r w:rsidR="00CD25F4" w:rsidRPr="006D70EA">
        <w:rPr>
          <w:rFonts w:ascii="Garamond" w:hAnsi="Garamond" w:cs="Times New Roman"/>
          <w:bCs/>
        </w:rPr>
        <w:t>A practical approach is taken for</w:t>
      </w:r>
      <w:r w:rsidRPr="006D70EA">
        <w:rPr>
          <w:rFonts w:ascii="Garamond" w:hAnsi="Garamond" w:cs="Times New Roman"/>
          <w:bCs/>
        </w:rPr>
        <w:t xml:space="preserve"> this workshop, where the</w:t>
      </w:r>
      <w:r w:rsidR="008A5FC7">
        <w:rPr>
          <w:rFonts w:ascii="Garamond" w:hAnsi="Garamond" w:cs="Times New Roman"/>
          <w:bCs/>
        </w:rPr>
        <w:t xml:space="preserve"> </w:t>
      </w:r>
      <w:r w:rsidRPr="006D70EA">
        <w:rPr>
          <w:rFonts w:ascii="Garamond" w:hAnsi="Garamond" w:cs="Times New Roman"/>
          <w:bCs/>
        </w:rPr>
        <w:t>trainees learn about the learning strategy</w:t>
      </w:r>
      <w:r w:rsidR="008A5FC7">
        <w:rPr>
          <w:rFonts w:ascii="Garamond" w:hAnsi="Garamond" w:cs="Times New Roman"/>
          <w:bCs/>
        </w:rPr>
        <w:t xml:space="preserve"> </w:t>
      </w:r>
      <w:r w:rsidRPr="006D70EA">
        <w:rPr>
          <w:rFonts w:ascii="Garamond" w:hAnsi="Garamond" w:cs="Times New Roman"/>
          <w:bCs/>
        </w:rPr>
        <w:t xml:space="preserve">by actually practicing the technique as it is learned. </w:t>
      </w:r>
    </w:p>
    <w:p w:rsidR="00745A8E" w:rsidRPr="006D70EA" w:rsidRDefault="008A5FC7" w:rsidP="006D70EA">
      <w:pPr>
        <w:autoSpaceDE w:val="0"/>
        <w:autoSpaceDN w:val="0"/>
        <w:adjustRightInd w:val="0"/>
        <w:spacing w:after="0"/>
        <w:rPr>
          <w:rFonts w:ascii="Garamond" w:hAnsi="Garamond" w:cs="Times New Roman"/>
          <w:bCs/>
        </w:rPr>
      </w:pPr>
      <w:r>
        <w:rPr>
          <w:rFonts w:ascii="Garamond" w:hAnsi="Garamond" w:cs="Times New Roman"/>
          <w:bCs/>
        </w:rPr>
        <w:tab/>
      </w:r>
      <w:r w:rsidR="00EE27DF" w:rsidRPr="006D70EA">
        <w:rPr>
          <w:rFonts w:ascii="Garamond" w:hAnsi="Garamond" w:cs="Times New Roman"/>
          <w:bCs/>
        </w:rPr>
        <w:t>As part of tra</w:t>
      </w:r>
      <w:r w:rsidR="00CD25F4" w:rsidRPr="006D70EA">
        <w:rPr>
          <w:rFonts w:ascii="Garamond" w:hAnsi="Garamond" w:cs="Times New Roman"/>
          <w:bCs/>
        </w:rPr>
        <w:t>ining, we emulate</w:t>
      </w:r>
      <w:r w:rsidR="00EE27DF" w:rsidRPr="006D70EA">
        <w:rPr>
          <w:rFonts w:ascii="Garamond" w:hAnsi="Garamond" w:cs="Times New Roman"/>
          <w:bCs/>
        </w:rPr>
        <w:t xml:space="preserve"> the same </w:t>
      </w:r>
      <w:r w:rsidR="00CD25F4" w:rsidRPr="006D70EA">
        <w:rPr>
          <w:rFonts w:ascii="Garamond" w:hAnsi="Garamond" w:cs="Times New Roman"/>
          <w:bCs/>
        </w:rPr>
        <w:t>active learning</w:t>
      </w:r>
      <w:r w:rsidR="00EE27DF" w:rsidRPr="006D70EA">
        <w:rPr>
          <w:rFonts w:ascii="Garamond" w:hAnsi="Garamond" w:cs="Times New Roman"/>
          <w:bCs/>
        </w:rPr>
        <w:t xml:space="preserve"> techniques used in workshop sessions. We use t</w:t>
      </w:r>
      <w:r w:rsidR="00745A8E" w:rsidRPr="006D70EA">
        <w:rPr>
          <w:rFonts w:ascii="Garamond" w:hAnsi="Garamond" w:cs="Times New Roman"/>
          <w:bCs/>
        </w:rPr>
        <w:t>he Jigsaw Method</w:t>
      </w:r>
      <w:r w:rsidR="00D83681" w:rsidRPr="006D70EA">
        <w:rPr>
          <w:rFonts w:ascii="Garamond" w:hAnsi="Garamond" w:cs="Times New Roman"/>
          <w:bCs/>
        </w:rPr>
        <w:t>,</w:t>
      </w:r>
      <w:r>
        <w:rPr>
          <w:rFonts w:ascii="Garamond" w:hAnsi="Garamond" w:cs="Times New Roman"/>
          <w:bCs/>
        </w:rPr>
        <w:t xml:space="preserve"> </w:t>
      </w:r>
      <w:r w:rsidR="00745A8E" w:rsidRPr="006D70EA">
        <w:rPr>
          <w:rFonts w:ascii="Garamond" w:hAnsi="Garamond" w:cs="Times New Roman"/>
          <w:bCs/>
        </w:rPr>
        <w:t>a collaborative learning strategy involving small groups, where information is put together, piece by piece, like a jigsaw puzzle, to understand a big picture concept. There are several other practical exercises performed during this training session which include</w:t>
      </w:r>
      <w:r>
        <w:rPr>
          <w:rFonts w:ascii="Garamond" w:hAnsi="Garamond" w:cs="Times New Roman"/>
          <w:bCs/>
        </w:rPr>
        <w:t xml:space="preserve"> </w:t>
      </w:r>
      <w:r w:rsidR="00745A8E" w:rsidRPr="006D70EA">
        <w:rPr>
          <w:rFonts w:ascii="Garamond" w:hAnsi="Garamond" w:cs="Times New Roman"/>
          <w:bCs/>
        </w:rPr>
        <w:t>creating one-sentence summaries, differentiating between brainstorming, flow charts, concept mapping, and Think-Pair-Share techniques.</w:t>
      </w:r>
    </w:p>
    <w:p w:rsidR="00745A8E" w:rsidRPr="006D70EA" w:rsidRDefault="008A5FC7" w:rsidP="006D70EA">
      <w:pPr>
        <w:autoSpaceDE w:val="0"/>
        <w:autoSpaceDN w:val="0"/>
        <w:adjustRightInd w:val="0"/>
        <w:spacing w:after="0"/>
        <w:rPr>
          <w:rFonts w:ascii="Garamond" w:hAnsi="Garamond" w:cs="Times New Roman"/>
          <w:bCs/>
        </w:rPr>
      </w:pPr>
      <w:r>
        <w:rPr>
          <w:rFonts w:ascii="Garamond" w:hAnsi="Garamond" w:cs="Times New Roman"/>
          <w:bCs/>
        </w:rPr>
        <w:tab/>
      </w:r>
      <w:r w:rsidR="00745A8E" w:rsidRPr="006D70EA">
        <w:rPr>
          <w:rFonts w:ascii="Garamond" w:hAnsi="Garamond" w:cs="Times New Roman"/>
          <w:bCs/>
        </w:rPr>
        <w:t>In addition to the practical component of this workshop,</w:t>
      </w:r>
      <w:r>
        <w:rPr>
          <w:rFonts w:ascii="Garamond" w:hAnsi="Garamond" w:cs="Times New Roman"/>
          <w:bCs/>
        </w:rPr>
        <w:t xml:space="preserve"> </w:t>
      </w:r>
      <w:r w:rsidR="00745A8E" w:rsidRPr="006D70EA">
        <w:rPr>
          <w:rFonts w:ascii="Garamond" w:hAnsi="Garamond" w:cs="Times New Roman"/>
          <w:bCs/>
        </w:rPr>
        <w:t>PLs</w:t>
      </w:r>
      <w:r w:rsidR="003E4F0B">
        <w:rPr>
          <w:rFonts w:ascii="Garamond" w:hAnsi="Garamond" w:cs="Times New Roman"/>
          <w:bCs/>
        </w:rPr>
        <w:t xml:space="preserve"> </w:t>
      </w:r>
      <w:r w:rsidR="00745A8E" w:rsidRPr="006D70EA">
        <w:rPr>
          <w:rFonts w:ascii="Garamond" w:hAnsi="Garamond" w:cs="Times New Roman"/>
          <w:bCs/>
        </w:rPr>
        <w:t xml:space="preserve">are guided to make connections to major pedagogical theories essential to STEM education and PLTL. </w:t>
      </w:r>
      <w:proofErr w:type="spellStart"/>
      <w:r w:rsidR="00745A8E" w:rsidRPr="006D70EA">
        <w:rPr>
          <w:rFonts w:ascii="Garamond" w:hAnsi="Garamond" w:cs="Times New Roman"/>
          <w:bCs/>
        </w:rPr>
        <w:t>Vygotsky’s</w:t>
      </w:r>
      <w:proofErr w:type="spellEnd"/>
      <w:r w:rsidR="00745A8E" w:rsidRPr="006D70EA">
        <w:rPr>
          <w:rFonts w:ascii="Garamond" w:hAnsi="Garamond" w:cs="Times New Roman"/>
          <w:bCs/>
        </w:rPr>
        <w:t xml:space="preserve"> Zone of Proximal Development (ZPD) is at the pedagogical foundation of the workshop model. ZPD can be defined as the difference between a person’s developmental level or ability to independently problem solve and a person’s potential to solve a problem with the guidance from an expert or a capable peer (in other words, a more knowledgeable other). PLs learn how to properly restructure typical classroom time and curriculum to reflect constructivist learning theory. The objective of this part of the training session is to have PLs acquire basic knowledge of the </w:t>
      </w:r>
      <w:r w:rsidR="00731A37" w:rsidRPr="006D70EA">
        <w:rPr>
          <w:rFonts w:ascii="Garamond" w:hAnsi="Garamond" w:cs="Times New Roman"/>
          <w:bCs/>
        </w:rPr>
        <w:t>ZPD</w:t>
      </w:r>
      <w:r w:rsidR="00745A8E" w:rsidRPr="006D70EA">
        <w:rPr>
          <w:rFonts w:ascii="Garamond" w:hAnsi="Garamond" w:cs="Times New Roman"/>
          <w:bCs/>
        </w:rPr>
        <w:t xml:space="preserve"> and be able to apply it during their workshops. This would involve an understanding of the importance of facilitating the evolution of a novice's thought process into an expert's academic mindset. The role of the PL as a more capable peer</w:t>
      </w:r>
      <w:r w:rsidR="00731A37" w:rsidRPr="006D70EA">
        <w:rPr>
          <w:rFonts w:ascii="Garamond" w:hAnsi="Garamond" w:cs="Times New Roman"/>
          <w:bCs/>
        </w:rPr>
        <w:t>,</w:t>
      </w:r>
      <w:r w:rsidR="00745A8E" w:rsidRPr="006D70EA">
        <w:rPr>
          <w:rFonts w:ascii="Garamond" w:hAnsi="Garamond" w:cs="Times New Roman"/>
          <w:bCs/>
        </w:rPr>
        <w:t xml:space="preserve"> or more knowledgeable other</w:t>
      </w:r>
      <w:r w:rsidR="00731A37" w:rsidRPr="006D70EA">
        <w:rPr>
          <w:rFonts w:ascii="Garamond" w:hAnsi="Garamond" w:cs="Times New Roman"/>
          <w:bCs/>
        </w:rPr>
        <w:t>,</w:t>
      </w:r>
      <w:r w:rsidR="00745A8E" w:rsidRPr="006D70EA">
        <w:rPr>
          <w:rFonts w:ascii="Garamond" w:hAnsi="Garamond" w:cs="Times New Roman"/>
          <w:bCs/>
        </w:rPr>
        <w:t xml:space="preserve"> is to guide PLTL students through their own learning process</w:t>
      </w:r>
      <w:r w:rsidR="00B91CD0" w:rsidRPr="006D70EA">
        <w:rPr>
          <w:rFonts w:ascii="Garamond" w:hAnsi="Garamond" w:cs="Times New Roman"/>
          <w:bCs/>
        </w:rPr>
        <w:t xml:space="preserve"> and </w:t>
      </w:r>
      <w:r w:rsidR="00745A8E" w:rsidRPr="006D70EA">
        <w:rPr>
          <w:rFonts w:ascii="Garamond" w:hAnsi="Garamond" w:cs="Times New Roman"/>
          <w:bCs/>
        </w:rPr>
        <w:t>better equip students</w:t>
      </w:r>
      <w:r w:rsidR="00D83681" w:rsidRPr="006D70EA">
        <w:rPr>
          <w:rFonts w:ascii="Garamond" w:hAnsi="Garamond" w:cs="Times New Roman"/>
          <w:bCs/>
        </w:rPr>
        <w:t>,</w:t>
      </w:r>
      <w:r w:rsidR="00745A8E" w:rsidRPr="006D70EA">
        <w:rPr>
          <w:rFonts w:ascii="Garamond" w:hAnsi="Garamond" w:cs="Times New Roman"/>
          <w:bCs/>
        </w:rPr>
        <w:t xml:space="preserve"> helping them understand how to navigate themselves through future learning experiences</w:t>
      </w:r>
      <w:r w:rsidR="00731A37" w:rsidRPr="006D70EA">
        <w:rPr>
          <w:rFonts w:ascii="Garamond" w:hAnsi="Garamond" w:cs="Times New Roman"/>
          <w:bCs/>
        </w:rPr>
        <w:t xml:space="preserve"> (</w:t>
      </w:r>
      <w:r w:rsidR="000D130E" w:rsidRPr="006D70EA">
        <w:rPr>
          <w:rFonts w:ascii="Garamond" w:hAnsi="Garamond" w:cs="Times New Roman"/>
          <w:bCs/>
        </w:rPr>
        <w:t>Vygotsky, 1978</w:t>
      </w:r>
      <w:r w:rsidR="00731A37" w:rsidRPr="006D70EA">
        <w:rPr>
          <w:rFonts w:ascii="Garamond" w:hAnsi="Garamond" w:cs="Times New Roman"/>
          <w:bCs/>
        </w:rPr>
        <w:t>)</w:t>
      </w:r>
      <w:r w:rsidR="00745A8E" w:rsidRPr="006D70EA">
        <w:rPr>
          <w:rFonts w:ascii="Garamond" w:hAnsi="Garamond" w:cs="Times New Roman"/>
          <w:bCs/>
        </w:rPr>
        <w:t>.</w:t>
      </w:r>
    </w:p>
    <w:p w:rsidR="00834196" w:rsidRPr="006D70EA" w:rsidRDefault="006D70EA" w:rsidP="006D70EA">
      <w:pPr>
        <w:autoSpaceDE w:val="0"/>
        <w:autoSpaceDN w:val="0"/>
        <w:adjustRightInd w:val="0"/>
        <w:spacing w:after="0"/>
        <w:rPr>
          <w:rFonts w:ascii="Garamond" w:hAnsi="Garamond" w:cs="Times New Roman"/>
          <w:bCs/>
          <w:color w:val="FF0000"/>
        </w:rPr>
      </w:pPr>
      <w:r>
        <w:rPr>
          <w:rFonts w:ascii="Garamond" w:hAnsi="Garamond" w:cs="Times New Roman"/>
          <w:bCs/>
        </w:rPr>
        <w:tab/>
      </w:r>
      <w:r w:rsidR="00834196" w:rsidRPr="006D70EA">
        <w:rPr>
          <w:rFonts w:ascii="Garamond" w:hAnsi="Garamond" w:cs="Times New Roman"/>
          <w:bCs/>
        </w:rPr>
        <w:t>In th</w:t>
      </w:r>
      <w:r w:rsidR="00731A37" w:rsidRPr="006D70EA">
        <w:rPr>
          <w:rFonts w:ascii="Garamond" w:hAnsi="Garamond" w:cs="Times New Roman"/>
          <w:bCs/>
        </w:rPr>
        <w:t>e</w:t>
      </w:r>
      <w:r>
        <w:rPr>
          <w:rFonts w:ascii="Garamond" w:hAnsi="Garamond" w:cs="Times New Roman"/>
          <w:bCs/>
        </w:rPr>
        <w:t xml:space="preserve"> </w:t>
      </w:r>
      <w:r w:rsidR="00834196" w:rsidRPr="003E4F0B">
        <w:rPr>
          <w:rFonts w:ascii="Garamond" w:hAnsi="Garamond" w:cs="Times New Roman"/>
          <w:bCs/>
          <w:u w:val="single"/>
        </w:rPr>
        <w:t>Advanced Pedagogy workshop</w:t>
      </w:r>
      <w:r w:rsidR="00834196" w:rsidRPr="006D70EA">
        <w:rPr>
          <w:rFonts w:ascii="Garamond" w:hAnsi="Garamond" w:cs="Times New Roman"/>
          <w:bCs/>
        </w:rPr>
        <w:t>, the topic changes with each orientation. Changing the topics discussed in the workshop maintains an effective and fulfilling learning experience for PLs who remain with the program for multiple semesters.</w:t>
      </w:r>
      <w:r w:rsidR="00D83681" w:rsidRPr="006D70EA">
        <w:rPr>
          <w:rFonts w:ascii="Garamond" w:hAnsi="Garamond" w:cs="Times New Roman"/>
          <w:bCs/>
        </w:rPr>
        <w:t xml:space="preserve"> This workshop addresses</w:t>
      </w:r>
      <w:r>
        <w:rPr>
          <w:rFonts w:ascii="Garamond" w:hAnsi="Garamond" w:cs="Times New Roman"/>
          <w:bCs/>
        </w:rPr>
        <w:t xml:space="preserve"> </w:t>
      </w:r>
      <w:r w:rsidR="00D83681" w:rsidRPr="006D70EA">
        <w:rPr>
          <w:rFonts w:ascii="Garamond" w:hAnsi="Garamond" w:cs="Times New Roman"/>
          <w:bCs/>
        </w:rPr>
        <w:t xml:space="preserve">current issues or hot topics, although many pedagogical topics qualify for discussion. </w:t>
      </w:r>
      <w:r w:rsidR="00834196" w:rsidRPr="006D70EA">
        <w:rPr>
          <w:rFonts w:ascii="Garamond" w:hAnsi="Garamond" w:cs="Times New Roman"/>
          <w:bCs/>
        </w:rPr>
        <w:t>Addressing modern issues in STEM education is a good place to start determining how PLTL improve</w:t>
      </w:r>
      <w:r w:rsidR="00731A37" w:rsidRPr="006D70EA">
        <w:rPr>
          <w:rFonts w:ascii="Garamond" w:hAnsi="Garamond" w:cs="Times New Roman"/>
          <w:bCs/>
        </w:rPr>
        <w:t>s</w:t>
      </w:r>
      <w:r w:rsidR="00834196" w:rsidRPr="006D70EA">
        <w:rPr>
          <w:rFonts w:ascii="Garamond" w:hAnsi="Garamond" w:cs="Times New Roman"/>
          <w:bCs/>
        </w:rPr>
        <w:t xml:space="preserve"> academic success. Topics include: defining and applying critical thinking as a vital part of PLTL, making the connection between learning and memory, and designing better question stems.</w:t>
      </w:r>
    </w:p>
    <w:p w:rsidR="00834196" w:rsidRPr="006D70EA" w:rsidRDefault="006D70EA" w:rsidP="006D70EA">
      <w:pPr>
        <w:autoSpaceDE w:val="0"/>
        <w:autoSpaceDN w:val="0"/>
        <w:adjustRightInd w:val="0"/>
        <w:spacing w:after="0"/>
        <w:rPr>
          <w:rFonts w:ascii="Garamond" w:hAnsi="Garamond" w:cs="Times New Roman"/>
          <w:bCs/>
        </w:rPr>
      </w:pPr>
      <w:r>
        <w:rPr>
          <w:rFonts w:ascii="Garamond" w:hAnsi="Garamond" w:cs="Times New Roman"/>
          <w:bCs/>
        </w:rPr>
        <w:tab/>
      </w:r>
      <w:r w:rsidR="00A41056" w:rsidRPr="006D70EA">
        <w:rPr>
          <w:rFonts w:ascii="Garamond" w:hAnsi="Garamond" w:cs="Times New Roman"/>
          <w:bCs/>
        </w:rPr>
        <w:t xml:space="preserve">To be a supervisor, volunteers must have experience as a </w:t>
      </w:r>
      <w:r w:rsidR="00D83681" w:rsidRPr="006D70EA">
        <w:rPr>
          <w:rFonts w:ascii="Garamond" w:hAnsi="Garamond" w:cs="Times New Roman"/>
          <w:bCs/>
        </w:rPr>
        <w:t>PL</w:t>
      </w:r>
      <w:r w:rsidR="00A41056" w:rsidRPr="006D70EA">
        <w:rPr>
          <w:rFonts w:ascii="Garamond" w:hAnsi="Garamond" w:cs="Times New Roman"/>
          <w:bCs/>
        </w:rPr>
        <w:t xml:space="preserve"> for that </w:t>
      </w:r>
      <w:r w:rsidR="00D83681" w:rsidRPr="006D70EA">
        <w:rPr>
          <w:rFonts w:ascii="Garamond" w:hAnsi="Garamond" w:cs="Times New Roman"/>
          <w:bCs/>
        </w:rPr>
        <w:t>curriculum</w:t>
      </w:r>
      <w:r w:rsidR="00A41056" w:rsidRPr="006D70EA">
        <w:rPr>
          <w:rFonts w:ascii="Garamond" w:hAnsi="Garamond" w:cs="Times New Roman"/>
          <w:bCs/>
        </w:rPr>
        <w:t xml:space="preserve">. They must also show </w:t>
      </w:r>
      <w:r w:rsidR="00834196" w:rsidRPr="006D70EA">
        <w:rPr>
          <w:rFonts w:ascii="Garamond" w:hAnsi="Garamond" w:cs="Times New Roman"/>
          <w:bCs/>
        </w:rPr>
        <w:t>exceptional</w:t>
      </w:r>
      <w:r>
        <w:rPr>
          <w:rFonts w:ascii="Garamond" w:hAnsi="Garamond" w:cs="Times New Roman"/>
          <w:bCs/>
        </w:rPr>
        <w:t xml:space="preserve"> </w:t>
      </w:r>
      <w:r w:rsidR="00834196" w:rsidRPr="006D70EA">
        <w:rPr>
          <w:rFonts w:ascii="Garamond" w:hAnsi="Garamond" w:cs="Times New Roman"/>
          <w:bCs/>
        </w:rPr>
        <w:t>attributes related to their duties as a PL. Each supervisor</w:t>
      </w:r>
      <w:r>
        <w:rPr>
          <w:rFonts w:ascii="Garamond" w:hAnsi="Garamond" w:cs="Times New Roman"/>
          <w:bCs/>
        </w:rPr>
        <w:t xml:space="preserve"> </w:t>
      </w:r>
      <w:r w:rsidR="00834196" w:rsidRPr="006D70EA">
        <w:rPr>
          <w:rFonts w:ascii="Garamond" w:hAnsi="Garamond" w:cs="Times New Roman"/>
          <w:bCs/>
        </w:rPr>
        <w:t xml:space="preserve">completes </w:t>
      </w:r>
      <w:r w:rsidR="00A41056" w:rsidRPr="006D70EA">
        <w:rPr>
          <w:rFonts w:ascii="Garamond" w:hAnsi="Garamond" w:cs="Times New Roman"/>
          <w:bCs/>
        </w:rPr>
        <w:t>an</w:t>
      </w:r>
      <w:r w:rsidR="00834196" w:rsidRPr="006D70EA">
        <w:rPr>
          <w:rFonts w:ascii="Garamond" w:hAnsi="Garamond" w:cs="Times New Roman"/>
          <w:bCs/>
        </w:rPr>
        <w:t xml:space="preserve"> evaluation survey during each supervising session detailing all of the necessary features of a successful PLTL workshop. After each </w:t>
      </w:r>
      <w:r w:rsidR="00A41056" w:rsidRPr="006D70EA">
        <w:rPr>
          <w:rFonts w:ascii="Garamond" w:hAnsi="Garamond" w:cs="Times New Roman"/>
          <w:bCs/>
        </w:rPr>
        <w:t>monitored</w:t>
      </w:r>
      <w:r>
        <w:rPr>
          <w:rFonts w:ascii="Garamond" w:hAnsi="Garamond" w:cs="Times New Roman"/>
          <w:bCs/>
        </w:rPr>
        <w:t xml:space="preserve"> </w:t>
      </w:r>
      <w:r w:rsidR="00834196" w:rsidRPr="006D70EA">
        <w:rPr>
          <w:rFonts w:ascii="Garamond" w:hAnsi="Garamond" w:cs="Times New Roman"/>
          <w:bCs/>
        </w:rPr>
        <w:t>workshop, the supervising PL provides constructive feedback on how to improve a PL’s workshop</w:t>
      </w:r>
      <w:r w:rsidR="00E4623B" w:rsidRPr="006D70EA">
        <w:rPr>
          <w:rFonts w:ascii="Garamond" w:hAnsi="Garamond" w:cs="Times New Roman"/>
          <w:bCs/>
        </w:rPr>
        <w:t>.</w:t>
      </w:r>
      <w:r w:rsidR="00834196" w:rsidRPr="006D70EA">
        <w:rPr>
          <w:rFonts w:ascii="Garamond" w:hAnsi="Garamond" w:cs="Times New Roman"/>
          <w:bCs/>
        </w:rPr>
        <w:t xml:space="preserve"> Supervisors follow their evaluation with post-</w:t>
      </w:r>
      <w:r w:rsidR="00E4623B" w:rsidRPr="006D70EA">
        <w:rPr>
          <w:rFonts w:ascii="Garamond" w:hAnsi="Garamond" w:cs="Times New Roman"/>
          <w:bCs/>
        </w:rPr>
        <w:t>workshop</w:t>
      </w:r>
      <w:r w:rsidR="00834196" w:rsidRPr="006D70EA">
        <w:rPr>
          <w:rFonts w:ascii="Garamond" w:hAnsi="Garamond" w:cs="Times New Roman"/>
          <w:bCs/>
        </w:rPr>
        <w:t xml:space="preserve"> meetings to discuss their observations and how the PL can maximize strengths and identify potential areas for growth. It gives the PLs an additional opportunity to improve their own skills through the guidance of a more knowledgeable other. This feedback system also allows the supervisors to have an additional mentorship and leadership role.</w:t>
      </w:r>
    </w:p>
    <w:p w:rsidR="00834196" w:rsidRPr="006D70EA" w:rsidRDefault="006D70EA" w:rsidP="006D70EA">
      <w:pPr>
        <w:autoSpaceDE w:val="0"/>
        <w:autoSpaceDN w:val="0"/>
        <w:adjustRightInd w:val="0"/>
        <w:spacing w:after="0"/>
        <w:rPr>
          <w:rFonts w:ascii="Garamond" w:hAnsi="Garamond" w:cs="Times New Roman"/>
          <w:bCs/>
        </w:rPr>
      </w:pPr>
      <w:r>
        <w:rPr>
          <w:rFonts w:ascii="Garamond" w:hAnsi="Garamond" w:cs="Times New Roman"/>
          <w:bCs/>
          <w:color w:val="FF0000"/>
        </w:rPr>
        <w:tab/>
      </w:r>
      <w:r w:rsidR="00834196" w:rsidRPr="006D70EA">
        <w:rPr>
          <w:rFonts w:ascii="Garamond" w:hAnsi="Garamond" w:cs="Times New Roman"/>
          <w:bCs/>
        </w:rPr>
        <w:t xml:space="preserve">PLs attend a discussion group as part of the PL’s weekly training regimen, where both content and pedagogy are discussed. This forces the PLs to revisit concepts previously learned during their undergraduate career. The nature of this discussion allows PLs to clear up their own misconceptions and make connections </w:t>
      </w:r>
      <w:r w:rsidR="00834196" w:rsidRPr="006D70EA">
        <w:rPr>
          <w:rFonts w:ascii="Garamond" w:hAnsi="Garamond" w:cs="Times New Roman"/>
          <w:bCs/>
        </w:rPr>
        <w:lastRenderedPageBreak/>
        <w:t>that they were not able to the first time around. There are several anecdotes indicating that PLs learn more content knowledge and acquire a better understanding of the material as a result of being a PL.</w:t>
      </w:r>
    </w:p>
    <w:p w:rsidR="00834196" w:rsidRPr="006D70EA" w:rsidRDefault="00834196" w:rsidP="00834196">
      <w:pPr>
        <w:autoSpaceDE w:val="0"/>
        <w:autoSpaceDN w:val="0"/>
        <w:adjustRightInd w:val="0"/>
        <w:spacing w:after="0" w:line="240" w:lineRule="auto"/>
        <w:rPr>
          <w:rFonts w:ascii="Garamond" w:hAnsi="Garamond" w:cs="Times New Roman"/>
          <w:bCs/>
        </w:rPr>
      </w:pPr>
    </w:p>
    <w:p w:rsidR="003F6F6E" w:rsidRPr="006D70EA" w:rsidRDefault="003F6F6E" w:rsidP="00834196">
      <w:pPr>
        <w:autoSpaceDE w:val="0"/>
        <w:autoSpaceDN w:val="0"/>
        <w:adjustRightInd w:val="0"/>
        <w:spacing w:after="0" w:line="240" w:lineRule="auto"/>
        <w:rPr>
          <w:rFonts w:ascii="Garamond" w:hAnsi="Garamond" w:cs="Times New Roman"/>
          <w:bCs/>
          <w:u w:val="single"/>
        </w:rPr>
      </w:pPr>
      <w:r w:rsidRPr="006D70EA">
        <w:rPr>
          <w:rFonts w:ascii="Garamond" w:hAnsi="Garamond" w:cs="Times New Roman"/>
          <w:bCs/>
          <w:u w:val="single"/>
        </w:rPr>
        <w:t>Results</w:t>
      </w:r>
    </w:p>
    <w:p w:rsidR="003F6F6E" w:rsidRPr="006D70EA" w:rsidRDefault="003F6F6E" w:rsidP="003F6F6E">
      <w:pPr>
        <w:autoSpaceDE w:val="0"/>
        <w:autoSpaceDN w:val="0"/>
        <w:adjustRightInd w:val="0"/>
        <w:spacing w:after="0" w:line="240" w:lineRule="auto"/>
        <w:rPr>
          <w:rFonts w:ascii="Garamond" w:hAnsi="Garamond" w:cs="Times New Roman"/>
          <w:bCs/>
        </w:rPr>
      </w:pPr>
    </w:p>
    <w:tbl>
      <w:tblPr>
        <w:tblStyle w:val="MediumShading1-Accent5"/>
        <w:tblW w:w="9440" w:type="dxa"/>
        <w:tblLook w:val="04A0"/>
      </w:tblPr>
      <w:tblGrid>
        <w:gridCol w:w="1160"/>
        <w:gridCol w:w="2140"/>
        <w:gridCol w:w="1780"/>
        <w:gridCol w:w="1460"/>
        <w:gridCol w:w="1360"/>
        <w:gridCol w:w="1596"/>
      </w:tblGrid>
      <w:tr w:rsidR="00454EAD" w:rsidRPr="006D70EA" w:rsidTr="006D70EA">
        <w:trPr>
          <w:cnfStyle w:val="100000000000"/>
          <w:trHeight w:val="315"/>
        </w:trPr>
        <w:tc>
          <w:tcPr>
            <w:cnfStyle w:val="001000000000"/>
            <w:tcW w:w="1160" w:type="dxa"/>
            <w:noWrap/>
            <w:hideMark/>
          </w:tcPr>
          <w:p w:rsidR="003F6F6E" w:rsidRPr="006D70EA" w:rsidRDefault="003F6F6E" w:rsidP="005C202C">
            <w:pPr>
              <w:jc w:val="center"/>
              <w:rPr>
                <w:rFonts w:ascii="Garamond" w:eastAsia="Times New Roman" w:hAnsi="Garamond" w:cs="Times New Roman"/>
                <w:b w:val="0"/>
                <w:bCs w:val="0"/>
                <w:color w:val="000000"/>
              </w:rPr>
            </w:pPr>
            <w:r w:rsidRPr="006D70EA">
              <w:rPr>
                <w:rFonts w:ascii="Garamond" w:eastAsia="Times New Roman" w:hAnsi="Garamond" w:cs="Times New Roman"/>
                <w:color w:val="000000"/>
              </w:rPr>
              <w:t>Semester</w:t>
            </w:r>
          </w:p>
        </w:tc>
        <w:tc>
          <w:tcPr>
            <w:tcW w:w="2140" w:type="dxa"/>
            <w:noWrap/>
            <w:hideMark/>
          </w:tcPr>
          <w:p w:rsidR="003F6F6E" w:rsidRPr="006D70EA" w:rsidRDefault="003F6F6E" w:rsidP="005C202C">
            <w:pPr>
              <w:jc w:val="center"/>
              <w:cnfStyle w:val="100000000000"/>
              <w:rPr>
                <w:rFonts w:ascii="Garamond" w:eastAsia="Times New Roman" w:hAnsi="Garamond" w:cs="Times New Roman"/>
                <w:b w:val="0"/>
                <w:bCs w:val="0"/>
                <w:color w:val="000000"/>
              </w:rPr>
            </w:pPr>
            <w:r w:rsidRPr="006D70EA">
              <w:rPr>
                <w:rFonts w:ascii="Garamond" w:eastAsia="Times New Roman" w:hAnsi="Garamond" w:cs="Times New Roman"/>
                <w:color w:val="000000"/>
              </w:rPr>
              <w:t>Course</w:t>
            </w:r>
          </w:p>
        </w:tc>
        <w:tc>
          <w:tcPr>
            <w:tcW w:w="1780" w:type="dxa"/>
            <w:noWrap/>
            <w:hideMark/>
          </w:tcPr>
          <w:p w:rsidR="003F6F6E" w:rsidRPr="006D70EA" w:rsidRDefault="003F6F6E" w:rsidP="005C202C">
            <w:pPr>
              <w:jc w:val="center"/>
              <w:cnfStyle w:val="100000000000"/>
              <w:rPr>
                <w:rFonts w:ascii="Garamond" w:eastAsia="Times New Roman" w:hAnsi="Garamond" w:cs="Times New Roman"/>
                <w:b w:val="0"/>
                <w:bCs w:val="0"/>
                <w:color w:val="000000"/>
              </w:rPr>
            </w:pPr>
            <w:r w:rsidRPr="006D70EA">
              <w:rPr>
                <w:rFonts w:ascii="Garamond" w:eastAsia="Times New Roman" w:hAnsi="Garamond" w:cs="Times New Roman"/>
                <w:color w:val="000000"/>
              </w:rPr>
              <w:t>Leader Status</w:t>
            </w:r>
          </w:p>
        </w:tc>
        <w:tc>
          <w:tcPr>
            <w:tcW w:w="1460" w:type="dxa"/>
            <w:noWrap/>
            <w:hideMark/>
          </w:tcPr>
          <w:p w:rsidR="003F6F6E" w:rsidRPr="006D70EA" w:rsidRDefault="003F6F6E" w:rsidP="005C202C">
            <w:pPr>
              <w:jc w:val="center"/>
              <w:cnfStyle w:val="100000000000"/>
              <w:rPr>
                <w:rFonts w:ascii="Garamond" w:eastAsia="Times New Roman" w:hAnsi="Garamond" w:cs="Times New Roman"/>
                <w:b w:val="0"/>
                <w:bCs w:val="0"/>
                <w:color w:val="000000"/>
              </w:rPr>
            </w:pPr>
            <w:proofErr w:type="spellStart"/>
            <w:r w:rsidRPr="006D70EA">
              <w:rPr>
                <w:rFonts w:ascii="Garamond" w:eastAsia="Times New Roman" w:hAnsi="Garamond" w:cs="Times New Roman"/>
                <w:color w:val="000000"/>
              </w:rPr>
              <w:t>Avg</w:t>
            </w:r>
            <w:proofErr w:type="spellEnd"/>
            <w:r w:rsidRPr="006D70EA">
              <w:rPr>
                <w:rFonts w:ascii="Garamond" w:eastAsia="Times New Roman" w:hAnsi="Garamond" w:cs="Times New Roman"/>
                <w:color w:val="000000"/>
              </w:rPr>
              <w:t xml:space="preserve"> Grade</w:t>
            </w:r>
          </w:p>
        </w:tc>
        <w:tc>
          <w:tcPr>
            <w:tcW w:w="1360" w:type="dxa"/>
            <w:noWrap/>
            <w:hideMark/>
          </w:tcPr>
          <w:p w:rsidR="003F6F6E" w:rsidRPr="006D70EA" w:rsidRDefault="003F6F6E" w:rsidP="005C202C">
            <w:pPr>
              <w:jc w:val="center"/>
              <w:cnfStyle w:val="100000000000"/>
              <w:rPr>
                <w:rFonts w:ascii="Garamond" w:eastAsia="Times New Roman" w:hAnsi="Garamond" w:cs="Times New Roman"/>
                <w:b w:val="0"/>
                <w:bCs w:val="0"/>
                <w:color w:val="000000"/>
              </w:rPr>
            </w:pPr>
            <w:r w:rsidRPr="006D70EA">
              <w:rPr>
                <w:rFonts w:ascii="Garamond" w:eastAsia="Times New Roman" w:hAnsi="Garamond" w:cs="Times New Roman"/>
                <w:color w:val="000000"/>
              </w:rPr>
              <w:t>SD</w:t>
            </w:r>
          </w:p>
        </w:tc>
        <w:tc>
          <w:tcPr>
            <w:tcW w:w="1540" w:type="dxa"/>
            <w:noWrap/>
            <w:hideMark/>
          </w:tcPr>
          <w:p w:rsidR="003F6F6E" w:rsidRPr="006D70EA" w:rsidRDefault="003F6F6E" w:rsidP="005C202C">
            <w:pPr>
              <w:jc w:val="center"/>
              <w:cnfStyle w:val="100000000000"/>
              <w:rPr>
                <w:rFonts w:ascii="Garamond" w:eastAsia="Times New Roman" w:hAnsi="Garamond" w:cs="Times New Roman"/>
                <w:b w:val="0"/>
                <w:bCs w:val="0"/>
                <w:color w:val="000000"/>
              </w:rPr>
            </w:pPr>
            <w:r w:rsidRPr="006D70EA">
              <w:rPr>
                <w:rFonts w:ascii="Garamond" w:eastAsia="Times New Roman" w:hAnsi="Garamond" w:cs="Times New Roman"/>
                <w:color w:val="000000"/>
              </w:rPr>
              <w:t>T-Test Value</w:t>
            </w:r>
          </w:p>
        </w:tc>
      </w:tr>
      <w:tr w:rsidR="003F6F6E" w:rsidRPr="006D70EA" w:rsidTr="006D70EA">
        <w:trPr>
          <w:cnfStyle w:val="000000100000"/>
          <w:trHeight w:val="300"/>
        </w:trPr>
        <w:tc>
          <w:tcPr>
            <w:cnfStyle w:val="001000000000"/>
            <w:tcW w:w="1160" w:type="dxa"/>
            <w:vMerge w:val="restart"/>
            <w:noWrap/>
            <w:hideMark/>
          </w:tcPr>
          <w:p w:rsidR="003F6F6E" w:rsidRPr="006D70EA" w:rsidRDefault="003F6F6E" w:rsidP="005C202C">
            <w:pPr>
              <w:jc w:val="center"/>
              <w:rPr>
                <w:rFonts w:ascii="Garamond" w:eastAsia="Times New Roman" w:hAnsi="Garamond" w:cs="Times New Roman"/>
                <w:color w:val="000000"/>
              </w:rPr>
            </w:pPr>
            <w:r w:rsidRPr="006D70EA">
              <w:rPr>
                <w:rFonts w:ascii="Garamond" w:eastAsia="Times New Roman" w:hAnsi="Garamond" w:cs="Times New Roman"/>
                <w:color w:val="000000"/>
              </w:rPr>
              <w:t>Fall 2011</w:t>
            </w:r>
          </w:p>
        </w:tc>
        <w:tc>
          <w:tcPr>
            <w:tcW w:w="2140" w:type="dxa"/>
            <w:vMerge w:val="restart"/>
            <w:noWrap/>
            <w:hideMark/>
          </w:tcPr>
          <w:p w:rsidR="003F6F6E" w:rsidRPr="006D70EA" w:rsidRDefault="003F6F6E" w:rsidP="005C202C">
            <w:pPr>
              <w:jc w:val="center"/>
              <w:cnfStyle w:val="000000100000"/>
              <w:rPr>
                <w:rFonts w:ascii="Garamond" w:eastAsia="Times New Roman" w:hAnsi="Garamond" w:cs="Times New Roman"/>
                <w:color w:val="000000"/>
              </w:rPr>
            </w:pPr>
            <w:r w:rsidRPr="006D70EA">
              <w:rPr>
                <w:rFonts w:ascii="Garamond" w:eastAsia="Times New Roman" w:hAnsi="Garamond" w:cs="Times New Roman"/>
                <w:color w:val="000000"/>
              </w:rPr>
              <w:t>Genetics</w:t>
            </w:r>
          </w:p>
        </w:tc>
        <w:tc>
          <w:tcPr>
            <w:tcW w:w="178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Non-Leader</w:t>
            </w:r>
          </w:p>
        </w:tc>
        <w:tc>
          <w:tcPr>
            <w:tcW w:w="146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2.42</w:t>
            </w:r>
          </w:p>
        </w:tc>
        <w:tc>
          <w:tcPr>
            <w:tcW w:w="136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1.256</w:t>
            </w:r>
          </w:p>
        </w:tc>
        <w:tc>
          <w:tcPr>
            <w:tcW w:w="1540" w:type="dxa"/>
            <w:vMerge w:val="restart"/>
            <w:noWrap/>
            <w:hideMark/>
          </w:tcPr>
          <w:p w:rsidR="003F6F6E" w:rsidRPr="006D70EA" w:rsidRDefault="003F6F6E" w:rsidP="005C202C">
            <w:pPr>
              <w:jc w:val="center"/>
              <w:cnfStyle w:val="000000100000"/>
              <w:rPr>
                <w:rFonts w:ascii="Garamond" w:eastAsia="Times New Roman" w:hAnsi="Garamond" w:cs="Times New Roman"/>
                <w:color w:val="000000"/>
              </w:rPr>
            </w:pPr>
            <w:r w:rsidRPr="006D70EA">
              <w:rPr>
                <w:rFonts w:ascii="Garamond" w:eastAsia="Times New Roman" w:hAnsi="Garamond" w:cs="Times New Roman"/>
                <w:color w:val="000000"/>
              </w:rPr>
              <w:t>0.0000068*</w:t>
            </w:r>
          </w:p>
        </w:tc>
      </w:tr>
      <w:tr w:rsidR="003F6F6E" w:rsidRPr="006D70EA" w:rsidTr="006D70EA">
        <w:trPr>
          <w:cnfStyle w:val="000000010000"/>
          <w:trHeight w:val="315"/>
        </w:trPr>
        <w:tc>
          <w:tcPr>
            <w:cnfStyle w:val="001000000000"/>
            <w:tcW w:w="1160" w:type="dxa"/>
            <w:vMerge/>
            <w:hideMark/>
          </w:tcPr>
          <w:p w:rsidR="003F6F6E" w:rsidRPr="006D70EA" w:rsidRDefault="003F6F6E" w:rsidP="005C202C">
            <w:pPr>
              <w:rPr>
                <w:rFonts w:ascii="Garamond" w:eastAsia="Times New Roman" w:hAnsi="Garamond" w:cs="Times New Roman"/>
                <w:color w:val="000000"/>
              </w:rPr>
            </w:pPr>
          </w:p>
        </w:tc>
        <w:tc>
          <w:tcPr>
            <w:tcW w:w="2140" w:type="dxa"/>
            <w:vMerge/>
            <w:hideMark/>
          </w:tcPr>
          <w:p w:rsidR="003F6F6E" w:rsidRPr="006D70EA" w:rsidRDefault="003F6F6E" w:rsidP="005C202C">
            <w:pPr>
              <w:cnfStyle w:val="000000010000"/>
              <w:rPr>
                <w:rFonts w:ascii="Garamond" w:eastAsia="Times New Roman" w:hAnsi="Garamond" w:cs="Times New Roman"/>
                <w:color w:val="000000"/>
              </w:rPr>
            </w:pPr>
          </w:p>
        </w:tc>
        <w:tc>
          <w:tcPr>
            <w:tcW w:w="178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Leader</w:t>
            </w:r>
          </w:p>
        </w:tc>
        <w:tc>
          <w:tcPr>
            <w:tcW w:w="146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3.44</w:t>
            </w:r>
          </w:p>
        </w:tc>
        <w:tc>
          <w:tcPr>
            <w:tcW w:w="136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0.629</w:t>
            </w:r>
          </w:p>
        </w:tc>
        <w:tc>
          <w:tcPr>
            <w:tcW w:w="1540" w:type="dxa"/>
            <w:vMerge/>
            <w:hideMark/>
          </w:tcPr>
          <w:p w:rsidR="003F6F6E" w:rsidRPr="006D70EA" w:rsidRDefault="003F6F6E" w:rsidP="005C202C">
            <w:pPr>
              <w:cnfStyle w:val="000000010000"/>
              <w:rPr>
                <w:rFonts w:ascii="Garamond" w:eastAsia="Times New Roman" w:hAnsi="Garamond" w:cs="Times New Roman"/>
                <w:color w:val="000000"/>
              </w:rPr>
            </w:pPr>
          </w:p>
        </w:tc>
      </w:tr>
      <w:tr w:rsidR="003F6F6E" w:rsidRPr="006D70EA" w:rsidTr="006D70EA">
        <w:trPr>
          <w:cnfStyle w:val="000000100000"/>
          <w:trHeight w:val="300"/>
        </w:trPr>
        <w:tc>
          <w:tcPr>
            <w:cnfStyle w:val="001000000000"/>
            <w:tcW w:w="1160" w:type="dxa"/>
            <w:vMerge/>
            <w:hideMark/>
          </w:tcPr>
          <w:p w:rsidR="003F6F6E" w:rsidRPr="006D70EA" w:rsidRDefault="003F6F6E" w:rsidP="005C202C">
            <w:pPr>
              <w:rPr>
                <w:rFonts w:ascii="Garamond" w:eastAsia="Times New Roman" w:hAnsi="Garamond" w:cs="Times New Roman"/>
                <w:color w:val="000000"/>
              </w:rPr>
            </w:pPr>
          </w:p>
        </w:tc>
        <w:tc>
          <w:tcPr>
            <w:tcW w:w="2140" w:type="dxa"/>
            <w:vMerge w:val="restart"/>
            <w:noWrap/>
            <w:hideMark/>
          </w:tcPr>
          <w:p w:rsidR="003F6F6E" w:rsidRPr="006D70EA" w:rsidRDefault="003F6F6E" w:rsidP="005C202C">
            <w:pPr>
              <w:jc w:val="center"/>
              <w:cnfStyle w:val="000000100000"/>
              <w:rPr>
                <w:rFonts w:ascii="Garamond" w:eastAsia="Times New Roman" w:hAnsi="Garamond" w:cs="Times New Roman"/>
                <w:color w:val="000000"/>
              </w:rPr>
            </w:pPr>
            <w:r w:rsidRPr="006D70EA">
              <w:rPr>
                <w:rFonts w:ascii="Garamond" w:eastAsia="Times New Roman" w:hAnsi="Garamond" w:cs="Times New Roman"/>
                <w:color w:val="000000"/>
              </w:rPr>
              <w:t>Ecology</w:t>
            </w:r>
          </w:p>
        </w:tc>
        <w:tc>
          <w:tcPr>
            <w:tcW w:w="178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Non-Leader</w:t>
            </w:r>
          </w:p>
        </w:tc>
        <w:tc>
          <w:tcPr>
            <w:tcW w:w="146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2.84</w:t>
            </w:r>
          </w:p>
        </w:tc>
        <w:tc>
          <w:tcPr>
            <w:tcW w:w="136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1.051</w:t>
            </w:r>
          </w:p>
        </w:tc>
        <w:tc>
          <w:tcPr>
            <w:tcW w:w="1540" w:type="dxa"/>
            <w:vMerge w:val="restart"/>
            <w:noWrap/>
            <w:hideMark/>
          </w:tcPr>
          <w:p w:rsidR="003F6F6E" w:rsidRPr="006D70EA" w:rsidRDefault="003F6F6E" w:rsidP="005C202C">
            <w:pPr>
              <w:jc w:val="center"/>
              <w:cnfStyle w:val="000000100000"/>
              <w:rPr>
                <w:rFonts w:ascii="Garamond" w:eastAsia="Times New Roman" w:hAnsi="Garamond" w:cs="Times New Roman"/>
                <w:color w:val="000000"/>
              </w:rPr>
            </w:pPr>
            <w:r w:rsidRPr="006D70EA">
              <w:rPr>
                <w:rFonts w:ascii="Garamond" w:eastAsia="Times New Roman" w:hAnsi="Garamond" w:cs="Times New Roman"/>
                <w:color w:val="000000"/>
              </w:rPr>
              <w:t>0.0499*</w:t>
            </w:r>
          </w:p>
        </w:tc>
      </w:tr>
      <w:tr w:rsidR="003F6F6E" w:rsidRPr="006D70EA" w:rsidTr="006D70EA">
        <w:trPr>
          <w:cnfStyle w:val="000000010000"/>
          <w:trHeight w:val="315"/>
        </w:trPr>
        <w:tc>
          <w:tcPr>
            <w:cnfStyle w:val="001000000000"/>
            <w:tcW w:w="1160" w:type="dxa"/>
            <w:vMerge/>
            <w:hideMark/>
          </w:tcPr>
          <w:p w:rsidR="003F6F6E" w:rsidRPr="006D70EA" w:rsidRDefault="003F6F6E" w:rsidP="005C202C">
            <w:pPr>
              <w:rPr>
                <w:rFonts w:ascii="Garamond" w:eastAsia="Times New Roman" w:hAnsi="Garamond" w:cs="Times New Roman"/>
                <w:color w:val="000000"/>
              </w:rPr>
            </w:pPr>
          </w:p>
        </w:tc>
        <w:tc>
          <w:tcPr>
            <w:tcW w:w="2140" w:type="dxa"/>
            <w:vMerge/>
            <w:hideMark/>
          </w:tcPr>
          <w:p w:rsidR="003F6F6E" w:rsidRPr="006D70EA" w:rsidRDefault="003F6F6E" w:rsidP="005C202C">
            <w:pPr>
              <w:cnfStyle w:val="000000010000"/>
              <w:rPr>
                <w:rFonts w:ascii="Garamond" w:eastAsia="Times New Roman" w:hAnsi="Garamond" w:cs="Times New Roman"/>
                <w:color w:val="000000"/>
              </w:rPr>
            </w:pPr>
          </w:p>
        </w:tc>
        <w:tc>
          <w:tcPr>
            <w:tcW w:w="178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Leader</w:t>
            </w:r>
          </w:p>
        </w:tc>
        <w:tc>
          <w:tcPr>
            <w:tcW w:w="146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3.25</w:t>
            </w:r>
          </w:p>
        </w:tc>
        <w:tc>
          <w:tcPr>
            <w:tcW w:w="136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0.897</w:t>
            </w:r>
          </w:p>
        </w:tc>
        <w:tc>
          <w:tcPr>
            <w:tcW w:w="1540" w:type="dxa"/>
            <w:vMerge/>
            <w:hideMark/>
          </w:tcPr>
          <w:p w:rsidR="003F6F6E" w:rsidRPr="006D70EA" w:rsidRDefault="003F6F6E" w:rsidP="005C202C">
            <w:pPr>
              <w:cnfStyle w:val="000000010000"/>
              <w:rPr>
                <w:rFonts w:ascii="Garamond" w:eastAsia="Times New Roman" w:hAnsi="Garamond" w:cs="Times New Roman"/>
                <w:color w:val="000000"/>
              </w:rPr>
            </w:pPr>
          </w:p>
        </w:tc>
      </w:tr>
      <w:tr w:rsidR="003F6F6E" w:rsidRPr="006D70EA" w:rsidTr="006D70EA">
        <w:trPr>
          <w:cnfStyle w:val="000000100000"/>
          <w:trHeight w:val="300"/>
        </w:trPr>
        <w:tc>
          <w:tcPr>
            <w:cnfStyle w:val="001000000000"/>
            <w:tcW w:w="1160" w:type="dxa"/>
            <w:vMerge/>
            <w:hideMark/>
          </w:tcPr>
          <w:p w:rsidR="003F6F6E" w:rsidRPr="006D70EA" w:rsidRDefault="003F6F6E" w:rsidP="005C202C">
            <w:pPr>
              <w:rPr>
                <w:rFonts w:ascii="Garamond" w:eastAsia="Times New Roman" w:hAnsi="Garamond" w:cs="Times New Roman"/>
                <w:color w:val="000000"/>
              </w:rPr>
            </w:pPr>
          </w:p>
        </w:tc>
        <w:tc>
          <w:tcPr>
            <w:tcW w:w="2140" w:type="dxa"/>
            <w:vMerge w:val="restart"/>
            <w:noWrap/>
            <w:hideMark/>
          </w:tcPr>
          <w:p w:rsidR="003F6F6E" w:rsidRPr="006D70EA" w:rsidRDefault="003F6F6E" w:rsidP="005C202C">
            <w:pPr>
              <w:jc w:val="center"/>
              <w:cnfStyle w:val="000000100000"/>
              <w:rPr>
                <w:rFonts w:ascii="Garamond" w:eastAsia="Times New Roman" w:hAnsi="Garamond" w:cs="Times New Roman"/>
                <w:color w:val="000000"/>
              </w:rPr>
            </w:pPr>
            <w:r w:rsidRPr="006D70EA">
              <w:rPr>
                <w:rFonts w:ascii="Garamond" w:eastAsia="Times New Roman" w:hAnsi="Garamond" w:cs="Times New Roman"/>
                <w:color w:val="000000"/>
              </w:rPr>
              <w:t>Evolution</w:t>
            </w:r>
          </w:p>
        </w:tc>
        <w:tc>
          <w:tcPr>
            <w:tcW w:w="178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Non-Leader</w:t>
            </w:r>
          </w:p>
        </w:tc>
        <w:tc>
          <w:tcPr>
            <w:tcW w:w="146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3.06</w:t>
            </w:r>
          </w:p>
        </w:tc>
        <w:tc>
          <w:tcPr>
            <w:tcW w:w="136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0.793</w:t>
            </w:r>
          </w:p>
        </w:tc>
        <w:tc>
          <w:tcPr>
            <w:tcW w:w="1540" w:type="dxa"/>
            <w:vMerge w:val="restart"/>
            <w:noWrap/>
            <w:hideMark/>
          </w:tcPr>
          <w:p w:rsidR="003F6F6E" w:rsidRPr="006D70EA" w:rsidRDefault="003F6F6E" w:rsidP="005C202C">
            <w:pPr>
              <w:jc w:val="center"/>
              <w:cnfStyle w:val="000000100000"/>
              <w:rPr>
                <w:rFonts w:ascii="Garamond" w:eastAsia="Times New Roman" w:hAnsi="Garamond" w:cs="Times New Roman"/>
                <w:color w:val="000000"/>
              </w:rPr>
            </w:pPr>
            <w:r w:rsidRPr="006D70EA">
              <w:rPr>
                <w:rFonts w:ascii="Garamond" w:eastAsia="Times New Roman" w:hAnsi="Garamond" w:cs="Times New Roman"/>
                <w:color w:val="000000"/>
              </w:rPr>
              <w:t>0.00000000055*</w:t>
            </w:r>
          </w:p>
        </w:tc>
      </w:tr>
      <w:tr w:rsidR="003F6F6E" w:rsidRPr="006D70EA" w:rsidTr="006D70EA">
        <w:trPr>
          <w:cnfStyle w:val="000000010000"/>
          <w:trHeight w:val="315"/>
        </w:trPr>
        <w:tc>
          <w:tcPr>
            <w:cnfStyle w:val="001000000000"/>
            <w:tcW w:w="1160" w:type="dxa"/>
            <w:vMerge/>
            <w:hideMark/>
          </w:tcPr>
          <w:p w:rsidR="003F6F6E" w:rsidRPr="006D70EA" w:rsidRDefault="003F6F6E" w:rsidP="005C202C">
            <w:pPr>
              <w:rPr>
                <w:rFonts w:ascii="Garamond" w:eastAsia="Times New Roman" w:hAnsi="Garamond" w:cs="Times New Roman"/>
                <w:color w:val="000000"/>
              </w:rPr>
            </w:pPr>
          </w:p>
        </w:tc>
        <w:tc>
          <w:tcPr>
            <w:tcW w:w="2140" w:type="dxa"/>
            <w:vMerge/>
            <w:hideMark/>
          </w:tcPr>
          <w:p w:rsidR="003F6F6E" w:rsidRPr="006D70EA" w:rsidRDefault="003F6F6E" w:rsidP="005C202C">
            <w:pPr>
              <w:cnfStyle w:val="000000010000"/>
              <w:rPr>
                <w:rFonts w:ascii="Garamond" w:eastAsia="Times New Roman" w:hAnsi="Garamond" w:cs="Times New Roman"/>
                <w:color w:val="000000"/>
              </w:rPr>
            </w:pPr>
          </w:p>
        </w:tc>
        <w:tc>
          <w:tcPr>
            <w:tcW w:w="178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Leader</w:t>
            </w:r>
          </w:p>
        </w:tc>
        <w:tc>
          <w:tcPr>
            <w:tcW w:w="146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3.86</w:t>
            </w:r>
          </w:p>
        </w:tc>
        <w:tc>
          <w:tcPr>
            <w:tcW w:w="136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0.359</w:t>
            </w:r>
          </w:p>
        </w:tc>
        <w:tc>
          <w:tcPr>
            <w:tcW w:w="1540" w:type="dxa"/>
            <w:vMerge/>
            <w:hideMark/>
          </w:tcPr>
          <w:p w:rsidR="003F6F6E" w:rsidRPr="006D70EA" w:rsidRDefault="003F6F6E" w:rsidP="005C202C">
            <w:pPr>
              <w:cnfStyle w:val="000000010000"/>
              <w:rPr>
                <w:rFonts w:ascii="Garamond" w:eastAsia="Times New Roman" w:hAnsi="Garamond" w:cs="Times New Roman"/>
                <w:color w:val="000000"/>
              </w:rPr>
            </w:pPr>
          </w:p>
        </w:tc>
      </w:tr>
      <w:tr w:rsidR="003F6F6E" w:rsidRPr="006D70EA" w:rsidTr="006D70EA">
        <w:trPr>
          <w:cnfStyle w:val="000000100000"/>
          <w:trHeight w:val="300"/>
        </w:trPr>
        <w:tc>
          <w:tcPr>
            <w:cnfStyle w:val="001000000000"/>
            <w:tcW w:w="1160" w:type="dxa"/>
            <w:vMerge w:val="restart"/>
            <w:noWrap/>
            <w:hideMark/>
          </w:tcPr>
          <w:p w:rsidR="003F6F6E" w:rsidRPr="006D70EA" w:rsidRDefault="003F6F6E" w:rsidP="005C202C">
            <w:pPr>
              <w:jc w:val="center"/>
              <w:rPr>
                <w:rFonts w:ascii="Garamond" w:eastAsia="Times New Roman" w:hAnsi="Garamond" w:cs="Times New Roman"/>
                <w:color w:val="000000"/>
              </w:rPr>
            </w:pPr>
            <w:r w:rsidRPr="006D70EA">
              <w:rPr>
                <w:rFonts w:ascii="Garamond" w:eastAsia="Times New Roman" w:hAnsi="Garamond" w:cs="Times New Roman"/>
                <w:color w:val="000000"/>
              </w:rPr>
              <w:t>Spring 2012</w:t>
            </w:r>
          </w:p>
        </w:tc>
        <w:tc>
          <w:tcPr>
            <w:tcW w:w="2140" w:type="dxa"/>
            <w:vMerge w:val="restart"/>
            <w:noWrap/>
            <w:hideMark/>
          </w:tcPr>
          <w:p w:rsidR="003F6F6E" w:rsidRPr="006D70EA" w:rsidRDefault="003F6F6E" w:rsidP="005C202C">
            <w:pPr>
              <w:jc w:val="center"/>
              <w:cnfStyle w:val="000000100000"/>
              <w:rPr>
                <w:rFonts w:ascii="Garamond" w:eastAsia="Times New Roman" w:hAnsi="Garamond" w:cs="Times New Roman"/>
                <w:color w:val="000000"/>
              </w:rPr>
            </w:pPr>
            <w:r w:rsidRPr="006D70EA">
              <w:rPr>
                <w:rFonts w:ascii="Garamond" w:eastAsia="Times New Roman" w:hAnsi="Garamond" w:cs="Times New Roman"/>
                <w:color w:val="000000"/>
              </w:rPr>
              <w:t>Genetics Sec. 1</w:t>
            </w:r>
          </w:p>
        </w:tc>
        <w:tc>
          <w:tcPr>
            <w:tcW w:w="178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Non-Leader</w:t>
            </w:r>
          </w:p>
        </w:tc>
        <w:tc>
          <w:tcPr>
            <w:tcW w:w="146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2.80</w:t>
            </w:r>
          </w:p>
        </w:tc>
        <w:tc>
          <w:tcPr>
            <w:tcW w:w="136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0.976</w:t>
            </w:r>
          </w:p>
        </w:tc>
        <w:tc>
          <w:tcPr>
            <w:tcW w:w="1540" w:type="dxa"/>
            <w:vMerge w:val="restart"/>
            <w:noWrap/>
            <w:hideMark/>
          </w:tcPr>
          <w:p w:rsidR="003F6F6E" w:rsidRPr="006D70EA" w:rsidRDefault="003F6F6E" w:rsidP="005C202C">
            <w:pPr>
              <w:jc w:val="center"/>
              <w:cnfStyle w:val="000000100000"/>
              <w:rPr>
                <w:rFonts w:ascii="Garamond" w:eastAsia="Times New Roman" w:hAnsi="Garamond" w:cs="Times New Roman"/>
                <w:color w:val="000000"/>
              </w:rPr>
            </w:pPr>
            <w:r w:rsidRPr="006D70EA">
              <w:rPr>
                <w:rFonts w:ascii="Garamond" w:eastAsia="Times New Roman" w:hAnsi="Garamond" w:cs="Times New Roman"/>
                <w:color w:val="000000"/>
              </w:rPr>
              <w:t>0.000000045*</w:t>
            </w:r>
          </w:p>
        </w:tc>
      </w:tr>
      <w:tr w:rsidR="003F6F6E" w:rsidRPr="006D70EA" w:rsidTr="006D70EA">
        <w:trPr>
          <w:cnfStyle w:val="000000010000"/>
          <w:trHeight w:val="315"/>
        </w:trPr>
        <w:tc>
          <w:tcPr>
            <w:cnfStyle w:val="001000000000"/>
            <w:tcW w:w="1160" w:type="dxa"/>
            <w:vMerge/>
            <w:hideMark/>
          </w:tcPr>
          <w:p w:rsidR="003F6F6E" w:rsidRPr="006D70EA" w:rsidRDefault="003F6F6E" w:rsidP="005C202C">
            <w:pPr>
              <w:rPr>
                <w:rFonts w:ascii="Garamond" w:eastAsia="Times New Roman" w:hAnsi="Garamond" w:cs="Times New Roman"/>
                <w:color w:val="000000"/>
              </w:rPr>
            </w:pPr>
          </w:p>
        </w:tc>
        <w:tc>
          <w:tcPr>
            <w:tcW w:w="2140" w:type="dxa"/>
            <w:vMerge/>
            <w:hideMark/>
          </w:tcPr>
          <w:p w:rsidR="003F6F6E" w:rsidRPr="006D70EA" w:rsidRDefault="003F6F6E" w:rsidP="005C202C">
            <w:pPr>
              <w:cnfStyle w:val="000000010000"/>
              <w:rPr>
                <w:rFonts w:ascii="Garamond" w:eastAsia="Times New Roman" w:hAnsi="Garamond" w:cs="Times New Roman"/>
                <w:color w:val="000000"/>
              </w:rPr>
            </w:pPr>
          </w:p>
        </w:tc>
        <w:tc>
          <w:tcPr>
            <w:tcW w:w="178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Leader</w:t>
            </w:r>
          </w:p>
        </w:tc>
        <w:tc>
          <w:tcPr>
            <w:tcW w:w="146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3.61</w:t>
            </w:r>
          </w:p>
        </w:tc>
        <w:tc>
          <w:tcPr>
            <w:tcW w:w="136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0.499</w:t>
            </w:r>
          </w:p>
        </w:tc>
        <w:tc>
          <w:tcPr>
            <w:tcW w:w="1540" w:type="dxa"/>
            <w:vMerge/>
            <w:hideMark/>
          </w:tcPr>
          <w:p w:rsidR="003F6F6E" w:rsidRPr="006D70EA" w:rsidRDefault="003F6F6E" w:rsidP="005C202C">
            <w:pPr>
              <w:cnfStyle w:val="000000010000"/>
              <w:rPr>
                <w:rFonts w:ascii="Garamond" w:eastAsia="Times New Roman" w:hAnsi="Garamond" w:cs="Times New Roman"/>
                <w:color w:val="000000"/>
              </w:rPr>
            </w:pPr>
          </w:p>
        </w:tc>
      </w:tr>
      <w:tr w:rsidR="003F6F6E" w:rsidRPr="006D70EA" w:rsidTr="006D70EA">
        <w:trPr>
          <w:cnfStyle w:val="000000100000"/>
          <w:trHeight w:val="300"/>
        </w:trPr>
        <w:tc>
          <w:tcPr>
            <w:cnfStyle w:val="001000000000"/>
            <w:tcW w:w="1160" w:type="dxa"/>
            <w:vMerge/>
            <w:hideMark/>
          </w:tcPr>
          <w:p w:rsidR="003F6F6E" w:rsidRPr="006D70EA" w:rsidRDefault="003F6F6E" w:rsidP="005C202C">
            <w:pPr>
              <w:rPr>
                <w:rFonts w:ascii="Garamond" w:eastAsia="Times New Roman" w:hAnsi="Garamond" w:cs="Times New Roman"/>
                <w:color w:val="000000"/>
              </w:rPr>
            </w:pPr>
          </w:p>
        </w:tc>
        <w:tc>
          <w:tcPr>
            <w:tcW w:w="2140" w:type="dxa"/>
            <w:vMerge w:val="restart"/>
            <w:noWrap/>
            <w:hideMark/>
          </w:tcPr>
          <w:p w:rsidR="003F6F6E" w:rsidRPr="006D70EA" w:rsidRDefault="003F6F6E" w:rsidP="005C202C">
            <w:pPr>
              <w:jc w:val="center"/>
              <w:cnfStyle w:val="000000100000"/>
              <w:rPr>
                <w:rFonts w:ascii="Garamond" w:eastAsia="Times New Roman" w:hAnsi="Garamond" w:cs="Times New Roman"/>
                <w:color w:val="000000"/>
              </w:rPr>
            </w:pPr>
            <w:r w:rsidRPr="006D70EA">
              <w:rPr>
                <w:rFonts w:ascii="Garamond" w:eastAsia="Times New Roman" w:hAnsi="Garamond" w:cs="Times New Roman"/>
                <w:color w:val="000000"/>
              </w:rPr>
              <w:t>Genetics Sec.2</w:t>
            </w:r>
          </w:p>
        </w:tc>
        <w:tc>
          <w:tcPr>
            <w:tcW w:w="178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Non-Leader</w:t>
            </w:r>
          </w:p>
        </w:tc>
        <w:tc>
          <w:tcPr>
            <w:tcW w:w="146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3.09</w:t>
            </w:r>
          </w:p>
        </w:tc>
        <w:tc>
          <w:tcPr>
            <w:tcW w:w="136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0.805</w:t>
            </w:r>
          </w:p>
        </w:tc>
        <w:tc>
          <w:tcPr>
            <w:tcW w:w="1540" w:type="dxa"/>
            <w:vMerge w:val="restart"/>
            <w:noWrap/>
            <w:hideMark/>
          </w:tcPr>
          <w:p w:rsidR="003F6F6E" w:rsidRPr="006D70EA" w:rsidRDefault="003F6F6E" w:rsidP="005C202C">
            <w:pPr>
              <w:jc w:val="center"/>
              <w:cnfStyle w:val="000000100000"/>
              <w:rPr>
                <w:rFonts w:ascii="Garamond" w:eastAsia="Times New Roman" w:hAnsi="Garamond" w:cs="Times New Roman"/>
                <w:color w:val="000000"/>
              </w:rPr>
            </w:pPr>
            <w:r w:rsidRPr="006D70EA">
              <w:rPr>
                <w:rFonts w:ascii="Garamond" w:eastAsia="Times New Roman" w:hAnsi="Garamond" w:cs="Times New Roman"/>
                <w:color w:val="000000"/>
              </w:rPr>
              <w:t>0.00098*</w:t>
            </w:r>
          </w:p>
        </w:tc>
      </w:tr>
      <w:tr w:rsidR="003F6F6E" w:rsidRPr="006D70EA" w:rsidTr="006D70EA">
        <w:trPr>
          <w:cnfStyle w:val="000000010000"/>
          <w:trHeight w:val="315"/>
        </w:trPr>
        <w:tc>
          <w:tcPr>
            <w:cnfStyle w:val="001000000000"/>
            <w:tcW w:w="1160" w:type="dxa"/>
            <w:vMerge/>
            <w:hideMark/>
          </w:tcPr>
          <w:p w:rsidR="003F6F6E" w:rsidRPr="006D70EA" w:rsidRDefault="003F6F6E" w:rsidP="005C202C">
            <w:pPr>
              <w:rPr>
                <w:rFonts w:ascii="Garamond" w:eastAsia="Times New Roman" w:hAnsi="Garamond" w:cs="Times New Roman"/>
                <w:color w:val="000000"/>
              </w:rPr>
            </w:pPr>
          </w:p>
        </w:tc>
        <w:tc>
          <w:tcPr>
            <w:tcW w:w="2140" w:type="dxa"/>
            <w:vMerge/>
            <w:hideMark/>
          </w:tcPr>
          <w:p w:rsidR="003F6F6E" w:rsidRPr="006D70EA" w:rsidRDefault="003F6F6E" w:rsidP="005C202C">
            <w:pPr>
              <w:cnfStyle w:val="000000010000"/>
              <w:rPr>
                <w:rFonts w:ascii="Garamond" w:eastAsia="Times New Roman" w:hAnsi="Garamond" w:cs="Times New Roman"/>
                <w:color w:val="000000"/>
              </w:rPr>
            </w:pPr>
          </w:p>
        </w:tc>
        <w:tc>
          <w:tcPr>
            <w:tcW w:w="178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Leader</w:t>
            </w:r>
          </w:p>
        </w:tc>
        <w:tc>
          <w:tcPr>
            <w:tcW w:w="146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3.55</w:t>
            </w:r>
          </w:p>
        </w:tc>
        <w:tc>
          <w:tcPr>
            <w:tcW w:w="136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0.510</w:t>
            </w:r>
          </w:p>
        </w:tc>
        <w:tc>
          <w:tcPr>
            <w:tcW w:w="1540" w:type="dxa"/>
            <w:vMerge/>
            <w:hideMark/>
          </w:tcPr>
          <w:p w:rsidR="003F6F6E" w:rsidRPr="006D70EA" w:rsidRDefault="003F6F6E" w:rsidP="005C202C">
            <w:pPr>
              <w:cnfStyle w:val="000000010000"/>
              <w:rPr>
                <w:rFonts w:ascii="Garamond" w:eastAsia="Times New Roman" w:hAnsi="Garamond" w:cs="Times New Roman"/>
                <w:color w:val="000000"/>
              </w:rPr>
            </w:pPr>
          </w:p>
        </w:tc>
      </w:tr>
      <w:tr w:rsidR="003F6F6E" w:rsidRPr="006D70EA" w:rsidTr="006D70EA">
        <w:trPr>
          <w:cnfStyle w:val="000000100000"/>
          <w:trHeight w:val="300"/>
        </w:trPr>
        <w:tc>
          <w:tcPr>
            <w:cnfStyle w:val="001000000000"/>
            <w:tcW w:w="1160" w:type="dxa"/>
            <w:vMerge/>
            <w:hideMark/>
          </w:tcPr>
          <w:p w:rsidR="003F6F6E" w:rsidRPr="006D70EA" w:rsidRDefault="003F6F6E" w:rsidP="005C202C">
            <w:pPr>
              <w:rPr>
                <w:rFonts w:ascii="Garamond" w:eastAsia="Times New Roman" w:hAnsi="Garamond" w:cs="Times New Roman"/>
                <w:color w:val="000000"/>
              </w:rPr>
            </w:pPr>
          </w:p>
        </w:tc>
        <w:tc>
          <w:tcPr>
            <w:tcW w:w="2140" w:type="dxa"/>
            <w:vMerge w:val="restart"/>
            <w:noWrap/>
            <w:hideMark/>
          </w:tcPr>
          <w:p w:rsidR="003F6F6E" w:rsidRPr="006D70EA" w:rsidRDefault="003F6F6E" w:rsidP="005C202C">
            <w:pPr>
              <w:jc w:val="center"/>
              <w:cnfStyle w:val="000000100000"/>
              <w:rPr>
                <w:rFonts w:ascii="Garamond" w:eastAsia="Times New Roman" w:hAnsi="Garamond" w:cs="Times New Roman"/>
                <w:color w:val="000000"/>
              </w:rPr>
            </w:pPr>
            <w:r w:rsidRPr="006D70EA">
              <w:rPr>
                <w:rFonts w:ascii="Garamond" w:eastAsia="Times New Roman" w:hAnsi="Garamond" w:cs="Times New Roman"/>
                <w:color w:val="000000"/>
              </w:rPr>
              <w:t>Ecology</w:t>
            </w:r>
          </w:p>
        </w:tc>
        <w:tc>
          <w:tcPr>
            <w:tcW w:w="178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Non-Leader</w:t>
            </w:r>
          </w:p>
        </w:tc>
        <w:tc>
          <w:tcPr>
            <w:tcW w:w="146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3.23</w:t>
            </w:r>
          </w:p>
        </w:tc>
        <w:tc>
          <w:tcPr>
            <w:tcW w:w="136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0.816</w:t>
            </w:r>
          </w:p>
        </w:tc>
        <w:tc>
          <w:tcPr>
            <w:tcW w:w="1540" w:type="dxa"/>
            <w:vMerge w:val="restart"/>
            <w:noWrap/>
            <w:hideMark/>
          </w:tcPr>
          <w:p w:rsidR="003F6F6E" w:rsidRPr="006D70EA" w:rsidRDefault="003F6F6E" w:rsidP="005C202C">
            <w:pPr>
              <w:jc w:val="center"/>
              <w:cnfStyle w:val="000000100000"/>
              <w:rPr>
                <w:rFonts w:ascii="Garamond" w:eastAsia="Times New Roman" w:hAnsi="Garamond" w:cs="Times New Roman"/>
                <w:color w:val="000000"/>
              </w:rPr>
            </w:pPr>
            <w:r w:rsidRPr="006D70EA">
              <w:rPr>
                <w:rFonts w:ascii="Garamond" w:eastAsia="Times New Roman" w:hAnsi="Garamond" w:cs="Times New Roman"/>
                <w:color w:val="000000"/>
              </w:rPr>
              <w:t>0.4753</w:t>
            </w:r>
          </w:p>
        </w:tc>
      </w:tr>
      <w:tr w:rsidR="003F6F6E" w:rsidRPr="006D70EA" w:rsidTr="006D70EA">
        <w:trPr>
          <w:cnfStyle w:val="000000010000"/>
          <w:trHeight w:val="315"/>
        </w:trPr>
        <w:tc>
          <w:tcPr>
            <w:cnfStyle w:val="001000000000"/>
            <w:tcW w:w="1160" w:type="dxa"/>
            <w:vMerge/>
            <w:hideMark/>
          </w:tcPr>
          <w:p w:rsidR="003F6F6E" w:rsidRPr="006D70EA" w:rsidRDefault="003F6F6E" w:rsidP="005C202C">
            <w:pPr>
              <w:rPr>
                <w:rFonts w:ascii="Garamond" w:eastAsia="Times New Roman" w:hAnsi="Garamond" w:cs="Times New Roman"/>
                <w:color w:val="000000"/>
              </w:rPr>
            </w:pPr>
          </w:p>
        </w:tc>
        <w:tc>
          <w:tcPr>
            <w:tcW w:w="2140" w:type="dxa"/>
            <w:vMerge/>
            <w:hideMark/>
          </w:tcPr>
          <w:p w:rsidR="003F6F6E" w:rsidRPr="006D70EA" w:rsidRDefault="003F6F6E" w:rsidP="005C202C">
            <w:pPr>
              <w:cnfStyle w:val="000000010000"/>
              <w:rPr>
                <w:rFonts w:ascii="Garamond" w:eastAsia="Times New Roman" w:hAnsi="Garamond" w:cs="Times New Roman"/>
                <w:color w:val="000000"/>
              </w:rPr>
            </w:pPr>
          </w:p>
        </w:tc>
        <w:tc>
          <w:tcPr>
            <w:tcW w:w="178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Leader</w:t>
            </w:r>
          </w:p>
        </w:tc>
        <w:tc>
          <w:tcPr>
            <w:tcW w:w="146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3.00</w:t>
            </w:r>
          </w:p>
        </w:tc>
        <w:tc>
          <w:tcPr>
            <w:tcW w:w="136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0.943</w:t>
            </w:r>
          </w:p>
        </w:tc>
        <w:tc>
          <w:tcPr>
            <w:tcW w:w="1540" w:type="dxa"/>
            <w:vMerge/>
            <w:hideMark/>
          </w:tcPr>
          <w:p w:rsidR="003F6F6E" w:rsidRPr="006D70EA" w:rsidRDefault="003F6F6E" w:rsidP="005C202C">
            <w:pPr>
              <w:cnfStyle w:val="000000010000"/>
              <w:rPr>
                <w:rFonts w:ascii="Garamond" w:eastAsia="Times New Roman" w:hAnsi="Garamond" w:cs="Times New Roman"/>
                <w:color w:val="000000"/>
              </w:rPr>
            </w:pPr>
          </w:p>
        </w:tc>
      </w:tr>
      <w:tr w:rsidR="003F6F6E" w:rsidRPr="006D70EA" w:rsidTr="006D70EA">
        <w:trPr>
          <w:cnfStyle w:val="000000100000"/>
          <w:trHeight w:val="300"/>
        </w:trPr>
        <w:tc>
          <w:tcPr>
            <w:cnfStyle w:val="001000000000"/>
            <w:tcW w:w="1160" w:type="dxa"/>
            <w:vMerge/>
            <w:hideMark/>
          </w:tcPr>
          <w:p w:rsidR="003F6F6E" w:rsidRPr="006D70EA" w:rsidRDefault="003F6F6E" w:rsidP="005C202C">
            <w:pPr>
              <w:rPr>
                <w:rFonts w:ascii="Garamond" w:eastAsia="Times New Roman" w:hAnsi="Garamond" w:cs="Times New Roman"/>
                <w:color w:val="000000"/>
              </w:rPr>
            </w:pPr>
          </w:p>
        </w:tc>
        <w:tc>
          <w:tcPr>
            <w:tcW w:w="2140" w:type="dxa"/>
            <w:vMerge w:val="restart"/>
            <w:noWrap/>
            <w:hideMark/>
          </w:tcPr>
          <w:p w:rsidR="003F6F6E" w:rsidRPr="006D70EA" w:rsidRDefault="003F6F6E" w:rsidP="005C202C">
            <w:pPr>
              <w:jc w:val="center"/>
              <w:cnfStyle w:val="000000100000"/>
              <w:rPr>
                <w:rFonts w:ascii="Garamond" w:eastAsia="Times New Roman" w:hAnsi="Garamond" w:cs="Times New Roman"/>
                <w:color w:val="000000"/>
              </w:rPr>
            </w:pPr>
            <w:r w:rsidRPr="006D70EA">
              <w:rPr>
                <w:rFonts w:ascii="Garamond" w:eastAsia="Times New Roman" w:hAnsi="Garamond" w:cs="Times New Roman"/>
                <w:color w:val="000000"/>
              </w:rPr>
              <w:t>General Microbiology</w:t>
            </w:r>
          </w:p>
        </w:tc>
        <w:tc>
          <w:tcPr>
            <w:tcW w:w="178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Non-Leader</w:t>
            </w:r>
          </w:p>
        </w:tc>
        <w:tc>
          <w:tcPr>
            <w:tcW w:w="146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2.15</w:t>
            </w:r>
          </w:p>
        </w:tc>
        <w:tc>
          <w:tcPr>
            <w:tcW w:w="1360" w:type="dxa"/>
            <w:noWrap/>
            <w:hideMark/>
          </w:tcPr>
          <w:p w:rsidR="003F6F6E" w:rsidRPr="006D70EA" w:rsidRDefault="003F6F6E" w:rsidP="005C202C">
            <w:pPr>
              <w:cnfStyle w:val="000000100000"/>
              <w:rPr>
                <w:rFonts w:ascii="Garamond" w:eastAsia="Times New Roman" w:hAnsi="Garamond" w:cs="Times New Roman"/>
                <w:color w:val="000000"/>
              </w:rPr>
            </w:pPr>
            <w:r w:rsidRPr="006D70EA">
              <w:rPr>
                <w:rFonts w:ascii="Garamond" w:eastAsia="Times New Roman" w:hAnsi="Garamond" w:cs="Times New Roman"/>
                <w:color w:val="000000"/>
              </w:rPr>
              <w:t>0.985</w:t>
            </w:r>
          </w:p>
        </w:tc>
        <w:tc>
          <w:tcPr>
            <w:tcW w:w="1540" w:type="dxa"/>
            <w:vMerge w:val="restart"/>
            <w:noWrap/>
            <w:hideMark/>
          </w:tcPr>
          <w:p w:rsidR="003F6F6E" w:rsidRPr="006D70EA" w:rsidRDefault="003F6F6E" w:rsidP="005C202C">
            <w:pPr>
              <w:jc w:val="center"/>
              <w:cnfStyle w:val="000000100000"/>
              <w:rPr>
                <w:rFonts w:ascii="Garamond" w:eastAsia="Times New Roman" w:hAnsi="Garamond" w:cs="Times New Roman"/>
                <w:color w:val="000000"/>
              </w:rPr>
            </w:pPr>
            <w:r w:rsidRPr="006D70EA">
              <w:rPr>
                <w:rFonts w:ascii="Garamond" w:eastAsia="Times New Roman" w:hAnsi="Garamond" w:cs="Times New Roman"/>
                <w:color w:val="000000"/>
              </w:rPr>
              <w:t>0.041*</w:t>
            </w:r>
          </w:p>
        </w:tc>
      </w:tr>
      <w:tr w:rsidR="003F6F6E" w:rsidRPr="006D70EA" w:rsidTr="006D70EA">
        <w:trPr>
          <w:cnfStyle w:val="000000010000"/>
          <w:trHeight w:val="315"/>
        </w:trPr>
        <w:tc>
          <w:tcPr>
            <w:cnfStyle w:val="001000000000"/>
            <w:tcW w:w="1160" w:type="dxa"/>
            <w:vMerge/>
            <w:hideMark/>
          </w:tcPr>
          <w:p w:rsidR="003F6F6E" w:rsidRPr="006D70EA" w:rsidRDefault="003F6F6E" w:rsidP="005C202C">
            <w:pPr>
              <w:rPr>
                <w:rFonts w:ascii="Garamond" w:eastAsia="Times New Roman" w:hAnsi="Garamond" w:cs="Calibri"/>
                <w:color w:val="000000"/>
              </w:rPr>
            </w:pPr>
          </w:p>
        </w:tc>
        <w:tc>
          <w:tcPr>
            <w:tcW w:w="2140" w:type="dxa"/>
            <w:vMerge/>
            <w:hideMark/>
          </w:tcPr>
          <w:p w:rsidR="003F6F6E" w:rsidRPr="006D70EA" w:rsidRDefault="003F6F6E" w:rsidP="005C202C">
            <w:pPr>
              <w:cnfStyle w:val="000000010000"/>
              <w:rPr>
                <w:rFonts w:ascii="Garamond" w:eastAsia="Times New Roman" w:hAnsi="Garamond" w:cs="Calibri"/>
                <w:color w:val="000000"/>
              </w:rPr>
            </w:pPr>
          </w:p>
        </w:tc>
        <w:tc>
          <w:tcPr>
            <w:tcW w:w="178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Leader</w:t>
            </w:r>
          </w:p>
        </w:tc>
        <w:tc>
          <w:tcPr>
            <w:tcW w:w="146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2.55</w:t>
            </w:r>
          </w:p>
        </w:tc>
        <w:tc>
          <w:tcPr>
            <w:tcW w:w="1360" w:type="dxa"/>
            <w:noWrap/>
            <w:hideMark/>
          </w:tcPr>
          <w:p w:rsidR="003F6F6E" w:rsidRPr="006D70EA" w:rsidRDefault="003F6F6E" w:rsidP="005C202C">
            <w:pPr>
              <w:jc w:val="right"/>
              <w:cnfStyle w:val="000000010000"/>
              <w:rPr>
                <w:rFonts w:ascii="Garamond" w:eastAsia="Times New Roman" w:hAnsi="Garamond" w:cs="Times New Roman"/>
                <w:color w:val="000000"/>
              </w:rPr>
            </w:pPr>
            <w:r w:rsidRPr="006D70EA">
              <w:rPr>
                <w:rFonts w:ascii="Garamond" w:eastAsia="Times New Roman" w:hAnsi="Garamond" w:cs="Times New Roman"/>
                <w:color w:val="000000"/>
              </w:rPr>
              <w:t>0.995</w:t>
            </w:r>
          </w:p>
        </w:tc>
        <w:tc>
          <w:tcPr>
            <w:tcW w:w="1540" w:type="dxa"/>
            <w:vMerge/>
            <w:hideMark/>
          </w:tcPr>
          <w:p w:rsidR="003F6F6E" w:rsidRPr="006D70EA" w:rsidRDefault="003F6F6E" w:rsidP="005C202C">
            <w:pPr>
              <w:cnfStyle w:val="000000010000"/>
              <w:rPr>
                <w:rFonts w:ascii="Garamond" w:eastAsia="Times New Roman" w:hAnsi="Garamond" w:cs="Calibri"/>
                <w:color w:val="000000"/>
              </w:rPr>
            </w:pPr>
          </w:p>
        </w:tc>
      </w:tr>
    </w:tbl>
    <w:p w:rsidR="008F4D42" w:rsidRPr="006D70EA" w:rsidRDefault="008F4D42" w:rsidP="003F6F6E">
      <w:pPr>
        <w:autoSpaceDE w:val="0"/>
        <w:autoSpaceDN w:val="0"/>
        <w:adjustRightInd w:val="0"/>
        <w:spacing w:after="0" w:line="240" w:lineRule="auto"/>
        <w:rPr>
          <w:rFonts w:ascii="Garamond" w:hAnsi="Garamond" w:cs="Times New Roman"/>
          <w:bCs/>
        </w:rPr>
      </w:pPr>
    </w:p>
    <w:p w:rsidR="003F6F6E" w:rsidRPr="006D70EA" w:rsidRDefault="003F6F6E" w:rsidP="003F6F6E">
      <w:pPr>
        <w:autoSpaceDE w:val="0"/>
        <w:autoSpaceDN w:val="0"/>
        <w:adjustRightInd w:val="0"/>
        <w:spacing w:after="0" w:line="240" w:lineRule="auto"/>
        <w:rPr>
          <w:rFonts w:ascii="Garamond" w:hAnsi="Garamond" w:cs="Times New Roman"/>
          <w:bCs/>
        </w:rPr>
      </w:pPr>
      <w:proofErr w:type="gramStart"/>
      <w:r w:rsidRPr="006D70EA">
        <w:rPr>
          <w:rFonts w:ascii="Garamond" w:hAnsi="Garamond" w:cs="Times New Roman"/>
          <w:bCs/>
        </w:rPr>
        <w:t>Figure 1</w:t>
      </w:r>
      <w:r w:rsidR="00E17BEF" w:rsidRPr="006D70EA">
        <w:rPr>
          <w:rFonts w:ascii="Garamond" w:hAnsi="Garamond" w:cs="Times New Roman"/>
          <w:bCs/>
        </w:rPr>
        <w:t>.</w:t>
      </w:r>
      <w:proofErr w:type="gramEnd"/>
      <w:r w:rsidRPr="006D70EA">
        <w:rPr>
          <w:rFonts w:ascii="Garamond" w:hAnsi="Garamond" w:cs="Times New Roman"/>
          <w:bCs/>
        </w:rPr>
        <w:t xml:space="preserve"> Fall 2011 and </w:t>
      </w:r>
      <w:proofErr w:type="gramStart"/>
      <w:r w:rsidRPr="006D70EA">
        <w:rPr>
          <w:rFonts w:ascii="Garamond" w:hAnsi="Garamond" w:cs="Times New Roman"/>
          <w:bCs/>
        </w:rPr>
        <w:t>Spring</w:t>
      </w:r>
      <w:proofErr w:type="gramEnd"/>
      <w:r w:rsidRPr="006D70EA">
        <w:rPr>
          <w:rFonts w:ascii="Garamond" w:hAnsi="Garamond" w:cs="Times New Roman"/>
          <w:bCs/>
        </w:rPr>
        <w:t xml:space="preserve"> 2012 Peer Leader </w:t>
      </w:r>
      <w:proofErr w:type="spellStart"/>
      <w:r w:rsidRPr="006D70EA">
        <w:rPr>
          <w:rFonts w:ascii="Garamond" w:hAnsi="Garamond" w:cs="Times New Roman"/>
          <w:bCs/>
        </w:rPr>
        <w:t>vs</w:t>
      </w:r>
      <w:proofErr w:type="spellEnd"/>
      <w:r w:rsidRPr="006D70EA">
        <w:rPr>
          <w:rFonts w:ascii="Garamond" w:hAnsi="Garamond" w:cs="Times New Roman"/>
          <w:bCs/>
        </w:rPr>
        <w:t xml:space="preserve"> Non-Peer Leader</w:t>
      </w:r>
      <w:r w:rsidR="00040741" w:rsidRPr="006D70EA">
        <w:rPr>
          <w:rFonts w:ascii="Garamond" w:hAnsi="Garamond" w:cs="Times New Roman"/>
          <w:bCs/>
        </w:rPr>
        <w:t xml:space="preserve"> Course Grades</w:t>
      </w:r>
    </w:p>
    <w:p w:rsidR="003F6F6E" w:rsidRPr="006D70EA" w:rsidRDefault="003F6F6E" w:rsidP="003F6F6E">
      <w:pPr>
        <w:autoSpaceDE w:val="0"/>
        <w:autoSpaceDN w:val="0"/>
        <w:adjustRightInd w:val="0"/>
        <w:spacing w:after="0" w:line="240" w:lineRule="auto"/>
        <w:rPr>
          <w:rFonts w:ascii="Garamond" w:hAnsi="Garamond" w:cs="Times New Roman"/>
          <w:bCs/>
        </w:rPr>
      </w:pPr>
    </w:p>
    <w:p w:rsidR="003F6F6E" w:rsidRPr="006D70EA" w:rsidRDefault="003F6F6E" w:rsidP="003F6F6E">
      <w:pPr>
        <w:autoSpaceDE w:val="0"/>
        <w:autoSpaceDN w:val="0"/>
        <w:adjustRightInd w:val="0"/>
        <w:spacing w:after="0" w:line="240" w:lineRule="auto"/>
        <w:rPr>
          <w:rFonts w:ascii="Garamond" w:hAnsi="Garamond" w:cs="Times New Roman"/>
          <w:bCs/>
        </w:rPr>
      </w:pPr>
    </w:p>
    <w:p w:rsidR="00790A92" w:rsidRPr="006D70EA" w:rsidRDefault="00790A92" w:rsidP="006D70EA">
      <w:pPr>
        <w:autoSpaceDE w:val="0"/>
        <w:autoSpaceDN w:val="0"/>
        <w:adjustRightInd w:val="0"/>
        <w:spacing w:after="0"/>
        <w:ind w:firstLine="720"/>
        <w:rPr>
          <w:rFonts w:ascii="Garamond" w:hAnsi="Garamond" w:cs="Times New Roman"/>
          <w:bCs/>
        </w:rPr>
      </w:pPr>
      <w:r w:rsidRPr="006D70EA">
        <w:rPr>
          <w:rFonts w:ascii="Garamond" w:hAnsi="Garamond" w:cs="Times New Roman"/>
          <w:bCs/>
        </w:rPr>
        <w:t xml:space="preserve">During the </w:t>
      </w:r>
      <w:proofErr w:type="gramStart"/>
      <w:r w:rsidRPr="006D70EA">
        <w:rPr>
          <w:rFonts w:ascii="Garamond" w:hAnsi="Garamond" w:cs="Times New Roman"/>
          <w:bCs/>
        </w:rPr>
        <w:t>Fall</w:t>
      </w:r>
      <w:proofErr w:type="gramEnd"/>
      <w:r w:rsidRPr="006D70EA">
        <w:rPr>
          <w:rFonts w:ascii="Garamond" w:hAnsi="Garamond" w:cs="Times New Roman"/>
          <w:bCs/>
        </w:rPr>
        <w:t xml:space="preserve"> 2011 semester, the upper-level Genetics, Ecology, and Evolution courses were assessed based on PL performance. The students in the courses were split into two categories: PLs (previous or current) and non-</w:t>
      </w:r>
      <w:proofErr w:type="spellStart"/>
      <w:r w:rsidRPr="006D70EA">
        <w:rPr>
          <w:rFonts w:ascii="Garamond" w:hAnsi="Garamond" w:cs="Times New Roman"/>
          <w:bCs/>
        </w:rPr>
        <w:t>PLs.</w:t>
      </w:r>
      <w:proofErr w:type="spellEnd"/>
      <w:r w:rsidRPr="006D70EA">
        <w:rPr>
          <w:rFonts w:ascii="Garamond" w:hAnsi="Garamond" w:cs="Times New Roman"/>
          <w:bCs/>
        </w:rPr>
        <w:t xml:space="preserve"> Their course grades were averaged, and the standard deviation and two-tailed t-tests (</w:t>
      </w:r>
      <w:r w:rsidRPr="006D70EA">
        <w:rPr>
          <w:rFonts w:ascii="Garamond" w:hAnsi="Garamond" w:cs="Times New Roman"/>
          <w:bCs/>
          <w:i/>
        </w:rPr>
        <w:t>p</w:t>
      </w:r>
      <w:r w:rsidRPr="006D70EA">
        <w:rPr>
          <w:rFonts w:ascii="Garamond" w:hAnsi="Garamond" w:cs="Times New Roman"/>
          <w:bCs/>
        </w:rPr>
        <w:t>&lt; 0.05) were performed to show statistical significance. These finding are shown in Figure 1. All three of the courses show</w:t>
      </w:r>
      <w:r w:rsidR="00600193" w:rsidRPr="006D70EA">
        <w:rPr>
          <w:rFonts w:ascii="Garamond" w:hAnsi="Garamond" w:cs="Times New Roman"/>
          <w:bCs/>
        </w:rPr>
        <w:t>ed</w:t>
      </w:r>
      <w:r w:rsidRPr="006D70EA">
        <w:rPr>
          <w:rFonts w:ascii="Garamond" w:hAnsi="Garamond" w:cs="Times New Roman"/>
          <w:bCs/>
        </w:rPr>
        <w:t xml:space="preserve"> a higher statistically significant average course grade for </w:t>
      </w:r>
      <w:proofErr w:type="spellStart"/>
      <w:r w:rsidRPr="006D70EA">
        <w:rPr>
          <w:rFonts w:ascii="Garamond" w:hAnsi="Garamond" w:cs="Times New Roman"/>
          <w:bCs/>
        </w:rPr>
        <w:t>PLs.</w:t>
      </w:r>
      <w:proofErr w:type="spellEnd"/>
      <w:r w:rsidRPr="006D70EA">
        <w:rPr>
          <w:rFonts w:ascii="Garamond" w:hAnsi="Garamond" w:cs="Times New Roman"/>
          <w:bCs/>
        </w:rPr>
        <w:t xml:space="preserve"> Each of these courses </w:t>
      </w:r>
      <w:r w:rsidR="006D70EA">
        <w:rPr>
          <w:rFonts w:ascii="Garamond" w:hAnsi="Garamond" w:cs="Times New Roman"/>
          <w:bCs/>
        </w:rPr>
        <w:t>is</w:t>
      </w:r>
      <w:r w:rsidRPr="006D70EA">
        <w:rPr>
          <w:rFonts w:ascii="Garamond" w:hAnsi="Garamond" w:cs="Times New Roman"/>
          <w:bCs/>
        </w:rPr>
        <w:t xml:space="preserve"> </w:t>
      </w:r>
      <w:r w:rsidR="00600193" w:rsidRPr="006D70EA">
        <w:rPr>
          <w:rFonts w:ascii="Garamond" w:hAnsi="Garamond" w:cs="Times New Roman"/>
          <w:bCs/>
        </w:rPr>
        <w:t xml:space="preserve">required for the completion of </w:t>
      </w:r>
      <w:r w:rsidRPr="006D70EA">
        <w:rPr>
          <w:rFonts w:ascii="Garamond" w:hAnsi="Garamond" w:cs="Times New Roman"/>
          <w:bCs/>
        </w:rPr>
        <w:t xml:space="preserve">a B.S. degree in Biology at FIU. </w:t>
      </w:r>
    </w:p>
    <w:p w:rsidR="00790A92" w:rsidRPr="006D70EA" w:rsidRDefault="006D70EA" w:rsidP="006D70EA">
      <w:pPr>
        <w:autoSpaceDE w:val="0"/>
        <w:autoSpaceDN w:val="0"/>
        <w:adjustRightInd w:val="0"/>
        <w:spacing w:after="0"/>
        <w:rPr>
          <w:rFonts w:ascii="Garamond" w:hAnsi="Garamond" w:cs="Times New Roman"/>
          <w:bCs/>
        </w:rPr>
      </w:pPr>
      <w:r>
        <w:rPr>
          <w:rFonts w:ascii="Garamond" w:hAnsi="Garamond" w:cs="Times New Roman"/>
          <w:bCs/>
        </w:rPr>
        <w:tab/>
      </w:r>
      <w:r w:rsidR="00790A92" w:rsidRPr="006D70EA">
        <w:rPr>
          <w:rFonts w:ascii="Garamond" w:hAnsi="Garamond" w:cs="Times New Roman"/>
          <w:bCs/>
        </w:rPr>
        <w:t xml:space="preserve">During the </w:t>
      </w:r>
      <w:proofErr w:type="gramStart"/>
      <w:r w:rsidR="00790A92" w:rsidRPr="006D70EA">
        <w:rPr>
          <w:rFonts w:ascii="Garamond" w:hAnsi="Garamond" w:cs="Times New Roman"/>
          <w:bCs/>
        </w:rPr>
        <w:t>Spring</w:t>
      </w:r>
      <w:proofErr w:type="gramEnd"/>
      <w:r w:rsidR="00790A92" w:rsidRPr="006D70EA">
        <w:rPr>
          <w:rFonts w:ascii="Garamond" w:hAnsi="Garamond" w:cs="Times New Roman"/>
          <w:bCs/>
        </w:rPr>
        <w:t xml:space="preserve"> 2012 semester, the upper-level Ecology, General Microbiology, and both sections of Genetics were assessed</w:t>
      </w:r>
      <w:r w:rsidR="00600193" w:rsidRPr="006D70EA">
        <w:rPr>
          <w:rFonts w:ascii="Garamond" w:hAnsi="Garamond" w:cs="Times New Roman"/>
          <w:bCs/>
        </w:rPr>
        <w:t xml:space="preserve"> based on PL performance, similarly to the Fall 2011 semester. The students in these courses were also split into two categories: PLs (previous and current) and non-</w:t>
      </w:r>
      <w:proofErr w:type="spellStart"/>
      <w:r w:rsidR="00600193" w:rsidRPr="006D70EA">
        <w:rPr>
          <w:rFonts w:ascii="Garamond" w:hAnsi="Garamond" w:cs="Times New Roman"/>
          <w:bCs/>
        </w:rPr>
        <w:t>PLs.</w:t>
      </w:r>
      <w:proofErr w:type="spellEnd"/>
      <w:r w:rsidR="00600193" w:rsidRPr="006D70EA">
        <w:rPr>
          <w:rFonts w:ascii="Garamond" w:hAnsi="Garamond" w:cs="Times New Roman"/>
          <w:bCs/>
        </w:rPr>
        <w:t xml:space="preserve"> Their </w:t>
      </w:r>
      <w:r w:rsidR="00037516" w:rsidRPr="006D70EA">
        <w:rPr>
          <w:rFonts w:ascii="Garamond" w:hAnsi="Garamond" w:cs="Times New Roman"/>
          <w:bCs/>
        </w:rPr>
        <w:t>course grades were also averaged</w:t>
      </w:r>
      <w:r w:rsidR="00600193" w:rsidRPr="006D70EA">
        <w:rPr>
          <w:rFonts w:ascii="Garamond" w:hAnsi="Garamond" w:cs="Times New Roman"/>
          <w:bCs/>
        </w:rPr>
        <w:t>, and the standard deviation and two-tailed t-tests (</w:t>
      </w:r>
      <w:r w:rsidR="00600193" w:rsidRPr="006D70EA">
        <w:rPr>
          <w:rFonts w:ascii="Garamond" w:hAnsi="Garamond" w:cs="Times New Roman"/>
          <w:bCs/>
          <w:i/>
        </w:rPr>
        <w:t>p</w:t>
      </w:r>
      <w:r w:rsidR="00600193" w:rsidRPr="006D70EA">
        <w:rPr>
          <w:rFonts w:ascii="Garamond" w:hAnsi="Garamond" w:cs="Times New Roman"/>
          <w:bCs/>
        </w:rPr>
        <w:t xml:space="preserve">&lt; 0.05) were also performed. These finding are also reported in Figure 1. Three out of the four courses demonstrated a higher statistically significant average course grade for </w:t>
      </w:r>
      <w:proofErr w:type="spellStart"/>
      <w:r w:rsidR="00600193" w:rsidRPr="006D70EA">
        <w:rPr>
          <w:rFonts w:ascii="Garamond" w:hAnsi="Garamond" w:cs="Times New Roman"/>
          <w:bCs/>
        </w:rPr>
        <w:t>PLs.</w:t>
      </w:r>
      <w:proofErr w:type="spellEnd"/>
      <w:r w:rsidR="00600193" w:rsidRPr="006D70EA">
        <w:rPr>
          <w:rFonts w:ascii="Garamond" w:hAnsi="Garamond" w:cs="Times New Roman"/>
          <w:bCs/>
        </w:rPr>
        <w:t xml:space="preserve"> These three courses included General Microbiology and both sections of Genetics. The Ecology course did not demonstrate higher average course grades for </w:t>
      </w:r>
      <w:proofErr w:type="spellStart"/>
      <w:r w:rsidR="00600193" w:rsidRPr="006D70EA">
        <w:rPr>
          <w:rFonts w:ascii="Garamond" w:hAnsi="Garamond" w:cs="Times New Roman"/>
          <w:bCs/>
        </w:rPr>
        <w:t>PLs.</w:t>
      </w:r>
      <w:proofErr w:type="spellEnd"/>
      <w:r w:rsidR="00600193" w:rsidRPr="006D70EA">
        <w:rPr>
          <w:rFonts w:ascii="Garamond" w:hAnsi="Garamond" w:cs="Times New Roman"/>
          <w:bCs/>
        </w:rPr>
        <w:t xml:space="preserve"> This assessment of student grades in this course, were not statistically significant. General Microbiology is a large-enrollment, elective course for the B.S. degree in Biology at FIU. However, many of the undergraduate biology students at </w:t>
      </w:r>
      <w:proofErr w:type="gramStart"/>
      <w:r w:rsidR="00600193" w:rsidRPr="006D70EA">
        <w:rPr>
          <w:rFonts w:ascii="Garamond" w:hAnsi="Garamond" w:cs="Times New Roman"/>
          <w:bCs/>
        </w:rPr>
        <w:t>FIU,</w:t>
      </w:r>
      <w:proofErr w:type="gramEnd"/>
      <w:r w:rsidR="00600193" w:rsidRPr="006D70EA">
        <w:rPr>
          <w:rFonts w:ascii="Garamond" w:hAnsi="Garamond" w:cs="Times New Roman"/>
          <w:bCs/>
        </w:rPr>
        <w:t xml:space="preserve"> are on a pre-health track, which requires this course. </w:t>
      </w:r>
    </w:p>
    <w:p w:rsidR="00454EAD" w:rsidRPr="006D70EA" w:rsidRDefault="00454EAD" w:rsidP="006D70EA">
      <w:pPr>
        <w:autoSpaceDE w:val="0"/>
        <w:autoSpaceDN w:val="0"/>
        <w:adjustRightInd w:val="0"/>
        <w:spacing w:after="0"/>
        <w:rPr>
          <w:rFonts w:ascii="Garamond" w:hAnsi="Garamond" w:cs="Times New Roman"/>
          <w:bCs/>
        </w:rPr>
      </w:pPr>
    </w:p>
    <w:p w:rsidR="003F6F6E" w:rsidRPr="006D70EA" w:rsidRDefault="003F6F6E" w:rsidP="003F6F6E">
      <w:pPr>
        <w:autoSpaceDE w:val="0"/>
        <w:autoSpaceDN w:val="0"/>
        <w:adjustRightInd w:val="0"/>
        <w:spacing w:after="0" w:line="240" w:lineRule="auto"/>
        <w:rPr>
          <w:rFonts w:ascii="Garamond" w:hAnsi="Garamond" w:cs="Times New Roman"/>
        </w:rPr>
      </w:pPr>
    </w:p>
    <w:p w:rsidR="003F6F6E" w:rsidRPr="006D70EA" w:rsidRDefault="003F6F6E" w:rsidP="003F6F6E">
      <w:pPr>
        <w:autoSpaceDE w:val="0"/>
        <w:autoSpaceDN w:val="0"/>
        <w:adjustRightInd w:val="0"/>
        <w:spacing w:after="0" w:line="240" w:lineRule="auto"/>
        <w:rPr>
          <w:rFonts w:ascii="Garamond" w:hAnsi="Garamond" w:cs="Times New Roman"/>
        </w:rPr>
      </w:pPr>
    </w:p>
    <w:p w:rsidR="003F6F6E" w:rsidRPr="006D70EA" w:rsidRDefault="003F6F6E" w:rsidP="003F6F6E">
      <w:pPr>
        <w:autoSpaceDE w:val="0"/>
        <w:autoSpaceDN w:val="0"/>
        <w:adjustRightInd w:val="0"/>
        <w:spacing w:after="0" w:line="240" w:lineRule="auto"/>
        <w:rPr>
          <w:rFonts w:ascii="Garamond" w:hAnsi="Garamond" w:cs="Times New Roman"/>
        </w:rPr>
      </w:pPr>
    </w:p>
    <w:p w:rsidR="003F6F6E" w:rsidRPr="006D70EA" w:rsidRDefault="003E4F0B" w:rsidP="003F6F6E">
      <w:pPr>
        <w:autoSpaceDE w:val="0"/>
        <w:autoSpaceDN w:val="0"/>
        <w:adjustRightInd w:val="0"/>
        <w:spacing w:after="0" w:line="240" w:lineRule="auto"/>
        <w:rPr>
          <w:rFonts w:ascii="Garamond" w:hAnsi="Garamond" w:cs="Times New Roman"/>
        </w:rPr>
      </w:pPr>
      <w:r>
        <w:rPr>
          <w:rFonts w:ascii="Garamond" w:hAnsi="Garamond" w:cs="Times New Roman"/>
          <w:noProof/>
        </w:rPr>
        <w:lastRenderedPageBreak/>
        <w:drawing>
          <wp:anchor distT="0" distB="0" distL="114300" distR="114300" simplePos="0" relativeHeight="251660288" behindDoc="1" locked="0" layoutInCell="1" allowOverlap="1">
            <wp:simplePos x="0" y="0"/>
            <wp:positionH relativeFrom="column">
              <wp:posOffset>1038225</wp:posOffset>
            </wp:positionH>
            <wp:positionV relativeFrom="paragraph">
              <wp:posOffset>-114300</wp:posOffset>
            </wp:positionV>
            <wp:extent cx="3726815" cy="2305050"/>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6815" cy="2305050"/>
                    </a:xfrm>
                    <a:prstGeom prst="rect">
                      <a:avLst/>
                    </a:prstGeom>
                  </pic:spPr>
                </pic:pic>
              </a:graphicData>
            </a:graphic>
          </wp:anchor>
        </w:drawing>
      </w:r>
    </w:p>
    <w:p w:rsidR="003F6F6E" w:rsidRPr="006D70EA" w:rsidRDefault="003F6F6E" w:rsidP="003F6F6E">
      <w:pPr>
        <w:autoSpaceDE w:val="0"/>
        <w:autoSpaceDN w:val="0"/>
        <w:adjustRightInd w:val="0"/>
        <w:spacing w:after="0" w:line="240" w:lineRule="auto"/>
        <w:rPr>
          <w:rFonts w:ascii="Garamond" w:hAnsi="Garamond" w:cs="Times New Roman"/>
        </w:rPr>
      </w:pPr>
    </w:p>
    <w:p w:rsidR="003F6F6E" w:rsidRPr="006D70EA" w:rsidRDefault="003F6F6E" w:rsidP="003F6F6E">
      <w:pPr>
        <w:autoSpaceDE w:val="0"/>
        <w:autoSpaceDN w:val="0"/>
        <w:adjustRightInd w:val="0"/>
        <w:spacing w:after="0" w:line="240" w:lineRule="auto"/>
        <w:rPr>
          <w:rFonts w:ascii="Garamond" w:hAnsi="Garamond" w:cs="Times New Roman"/>
        </w:rPr>
      </w:pPr>
    </w:p>
    <w:p w:rsidR="003F6F6E" w:rsidRPr="006D70EA" w:rsidRDefault="003F6F6E" w:rsidP="003F6F6E">
      <w:pPr>
        <w:autoSpaceDE w:val="0"/>
        <w:autoSpaceDN w:val="0"/>
        <w:adjustRightInd w:val="0"/>
        <w:spacing w:after="0" w:line="240" w:lineRule="auto"/>
        <w:rPr>
          <w:rFonts w:ascii="Garamond" w:hAnsi="Garamond" w:cs="Times New Roman"/>
        </w:rPr>
      </w:pPr>
    </w:p>
    <w:p w:rsidR="003F6F6E" w:rsidRPr="006D70EA" w:rsidRDefault="003F6F6E" w:rsidP="003F6F6E">
      <w:pPr>
        <w:autoSpaceDE w:val="0"/>
        <w:autoSpaceDN w:val="0"/>
        <w:adjustRightInd w:val="0"/>
        <w:spacing w:after="0" w:line="240" w:lineRule="auto"/>
        <w:rPr>
          <w:rFonts w:ascii="Garamond" w:hAnsi="Garamond" w:cs="Times New Roman"/>
        </w:rPr>
      </w:pPr>
    </w:p>
    <w:p w:rsidR="003F6F6E" w:rsidRPr="006D70EA" w:rsidRDefault="003F6F6E" w:rsidP="003F6F6E">
      <w:pPr>
        <w:autoSpaceDE w:val="0"/>
        <w:autoSpaceDN w:val="0"/>
        <w:adjustRightInd w:val="0"/>
        <w:spacing w:after="0" w:line="240" w:lineRule="auto"/>
        <w:rPr>
          <w:rFonts w:ascii="Garamond" w:hAnsi="Garamond" w:cs="Times New Roman"/>
        </w:rPr>
      </w:pPr>
    </w:p>
    <w:p w:rsidR="003F6F6E" w:rsidRPr="006D70EA" w:rsidRDefault="003F6F6E" w:rsidP="003F6F6E">
      <w:pPr>
        <w:autoSpaceDE w:val="0"/>
        <w:autoSpaceDN w:val="0"/>
        <w:adjustRightInd w:val="0"/>
        <w:spacing w:after="0" w:line="240" w:lineRule="auto"/>
        <w:rPr>
          <w:rFonts w:ascii="Garamond" w:hAnsi="Garamond" w:cs="Times New Roman"/>
        </w:rPr>
      </w:pPr>
    </w:p>
    <w:p w:rsidR="003F6F6E" w:rsidRPr="006D70EA" w:rsidRDefault="003F6F6E" w:rsidP="003F6F6E">
      <w:pPr>
        <w:autoSpaceDE w:val="0"/>
        <w:autoSpaceDN w:val="0"/>
        <w:adjustRightInd w:val="0"/>
        <w:spacing w:after="0" w:line="240" w:lineRule="auto"/>
        <w:rPr>
          <w:rFonts w:ascii="Garamond" w:hAnsi="Garamond" w:cs="Times New Roman"/>
        </w:rPr>
      </w:pPr>
    </w:p>
    <w:p w:rsidR="003F6F6E" w:rsidRPr="006D70EA" w:rsidRDefault="003F6F6E" w:rsidP="003F6F6E">
      <w:pPr>
        <w:autoSpaceDE w:val="0"/>
        <w:autoSpaceDN w:val="0"/>
        <w:adjustRightInd w:val="0"/>
        <w:spacing w:after="0" w:line="240" w:lineRule="auto"/>
        <w:rPr>
          <w:rFonts w:ascii="Garamond" w:hAnsi="Garamond" w:cs="Times New Roman"/>
        </w:rPr>
      </w:pPr>
    </w:p>
    <w:p w:rsidR="003F6F6E" w:rsidRPr="006D70EA" w:rsidRDefault="003F6F6E" w:rsidP="003F6F6E">
      <w:pPr>
        <w:autoSpaceDE w:val="0"/>
        <w:autoSpaceDN w:val="0"/>
        <w:adjustRightInd w:val="0"/>
        <w:spacing w:after="0" w:line="240" w:lineRule="auto"/>
        <w:rPr>
          <w:rFonts w:ascii="Garamond" w:hAnsi="Garamond" w:cs="Times New Roman"/>
        </w:rPr>
      </w:pPr>
    </w:p>
    <w:p w:rsidR="006D70EA" w:rsidRDefault="006D70EA" w:rsidP="003F6F6E">
      <w:pPr>
        <w:autoSpaceDE w:val="0"/>
        <w:autoSpaceDN w:val="0"/>
        <w:adjustRightInd w:val="0"/>
        <w:spacing w:after="0" w:line="240" w:lineRule="auto"/>
        <w:rPr>
          <w:rFonts w:ascii="Garamond" w:hAnsi="Garamond" w:cs="Times New Roman"/>
        </w:rPr>
      </w:pPr>
    </w:p>
    <w:p w:rsidR="006D70EA" w:rsidRDefault="006D70EA" w:rsidP="003F6F6E">
      <w:pPr>
        <w:autoSpaceDE w:val="0"/>
        <w:autoSpaceDN w:val="0"/>
        <w:adjustRightInd w:val="0"/>
        <w:spacing w:after="0" w:line="240" w:lineRule="auto"/>
        <w:rPr>
          <w:rFonts w:ascii="Garamond" w:hAnsi="Garamond" w:cs="Times New Roman"/>
        </w:rPr>
      </w:pPr>
    </w:p>
    <w:p w:rsidR="003E4F0B" w:rsidRDefault="003E4F0B" w:rsidP="003F6F6E">
      <w:pPr>
        <w:autoSpaceDE w:val="0"/>
        <w:autoSpaceDN w:val="0"/>
        <w:adjustRightInd w:val="0"/>
        <w:spacing w:after="0" w:line="240" w:lineRule="auto"/>
        <w:rPr>
          <w:rFonts w:ascii="Garamond" w:hAnsi="Garamond" w:cs="Times New Roman"/>
        </w:rPr>
      </w:pPr>
    </w:p>
    <w:p w:rsidR="003E4F0B" w:rsidRDefault="003E4F0B" w:rsidP="003F6F6E">
      <w:pPr>
        <w:autoSpaceDE w:val="0"/>
        <w:autoSpaceDN w:val="0"/>
        <w:adjustRightInd w:val="0"/>
        <w:spacing w:after="0" w:line="240" w:lineRule="auto"/>
        <w:rPr>
          <w:rFonts w:ascii="Garamond" w:hAnsi="Garamond" w:cs="Times New Roman"/>
        </w:rPr>
      </w:pPr>
    </w:p>
    <w:p w:rsidR="003F6F6E" w:rsidRPr="006D70EA" w:rsidRDefault="00040741" w:rsidP="003F6F6E">
      <w:pPr>
        <w:autoSpaceDE w:val="0"/>
        <w:autoSpaceDN w:val="0"/>
        <w:adjustRightInd w:val="0"/>
        <w:spacing w:after="0" w:line="240" w:lineRule="auto"/>
        <w:rPr>
          <w:rFonts w:ascii="Garamond" w:hAnsi="Garamond" w:cs="Times New Roman"/>
        </w:rPr>
      </w:pPr>
      <w:r w:rsidRPr="006D70EA">
        <w:rPr>
          <w:rFonts w:ascii="Garamond" w:hAnsi="Garamond" w:cs="Times New Roman"/>
        </w:rPr>
        <w:t>Figure 2</w:t>
      </w:r>
      <w:r w:rsidR="00E17BEF" w:rsidRPr="006D70EA">
        <w:rPr>
          <w:rFonts w:ascii="Garamond" w:hAnsi="Garamond" w:cs="Times New Roman"/>
        </w:rPr>
        <w:t>.Graph</w:t>
      </w:r>
      <w:r w:rsidR="00957E81" w:rsidRPr="006D70EA">
        <w:rPr>
          <w:rFonts w:ascii="Garamond" w:hAnsi="Garamond" w:cs="Times New Roman"/>
        </w:rPr>
        <w:t xml:space="preserve"> comparing student average course grades</w:t>
      </w:r>
      <w:r w:rsidR="001661DA" w:rsidRPr="006D70EA">
        <w:rPr>
          <w:rFonts w:ascii="Garamond" w:hAnsi="Garamond" w:cs="Times New Roman"/>
        </w:rPr>
        <w:t xml:space="preserve"> for Genetics, Ecology, and Evolution during the </w:t>
      </w:r>
      <w:proofErr w:type="gramStart"/>
      <w:r w:rsidR="001661DA" w:rsidRPr="006D70EA">
        <w:rPr>
          <w:rFonts w:ascii="Garamond" w:hAnsi="Garamond" w:cs="Times New Roman"/>
        </w:rPr>
        <w:t>Fall</w:t>
      </w:r>
      <w:proofErr w:type="gramEnd"/>
      <w:r w:rsidR="001661DA" w:rsidRPr="006D70EA">
        <w:rPr>
          <w:rFonts w:ascii="Garamond" w:hAnsi="Garamond" w:cs="Times New Roman"/>
        </w:rPr>
        <w:t xml:space="preserve"> 2011 semester, for PLs (Leaders) and non-PLs (non-leaders).</w:t>
      </w:r>
    </w:p>
    <w:p w:rsidR="003F6F6E" w:rsidRPr="006D70EA" w:rsidRDefault="003F6F6E" w:rsidP="003F6F6E">
      <w:pPr>
        <w:autoSpaceDE w:val="0"/>
        <w:autoSpaceDN w:val="0"/>
        <w:adjustRightInd w:val="0"/>
        <w:spacing w:after="0" w:line="240" w:lineRule="auto"/>
        <w:rPr>
          <w:rFonts w:ascii="Garamond" w:hAnsi="Garamond" w:cs="Times New Roman"/>
        </w:rPr>
      </w:pPr>
    </w:p>
    <w:p w:rsidR="003F6F6E" w:rsidRPr="006D70EA" w:rsidRDefault="00D17683" w:rsidP="003F6F6E">
      <w:pPr>
        <w:autoSpaceDE w:val="0"/>
        <w:autoSpaceDN w:val="0"/>
        <w:adjustRightInd w:val="0"/>
        <w:spacing w:after="0" w:line="240" w:lineRule="auto"/>
        <w:rPr>
          <w:rFonts w:ascii="Garamond" w:hAnsi="Garamond" w:cs="Times New Roman"/>
        </w:rPr>
      </w:pPr>
      <w:r w:rsidRPr="006D70EA">
        <w:rPr>
          <w:rFonts w:ascii="Garamond" w:hAnsi="Garamond" w:cs="Times New Roman"/>
          <w:bCs/>
          <w:noProof/>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124460</wp:posOffset>
            </wp:positionV>
            <wp:extent cx="3711340" cy="2295525"/>
            <wp:effectExtent l="19050" t="0" r="34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1340" cy="2295525"/>
                    </a:xfrm>
                    <a:prstGeom prst="rect">
                      <a:avLst/>
                    </a:prstGeom>
                  </pic:spPr>
                </pic:pic>
              </a:graphicData>
            </a:graphic>
          </wp:anchor>
        </w:drawing>
      </w:r>
    </w:p>
    <w:p w:rsidR="003F6F6E" w:rsidRPr="006D70EA" w:rsidRDefault="003F6F6E" w:rsidP="003F6F6E">
      <w:pPr>
        <w:autoSpaceDE w:val="0"/>
        <w:autoSpaceDN w:val="0"/>
        <w:adjustRightInd w:val="0"/>
        <w:spacing w:after="0" w:line="240" w:lineRule="auto"/>
        <w:rPr>
          <w:rFonts w:ascii="Garamond" w:hAnsi="Garamond" w:cs="Times New Roman"/>
        </w:rPr>
      </w:pPr>
    </w:p>
    <w:p w:rsidR="003F6F6E" w:rsidRPr="006D70EA" w:rsidRDefault="003F6F6E" w:rsidP="003F6F6E">
      <w:pPr>
        <w:autoSpaceDE w:val="0"/>
        <w:autoSpaceDN w:val="0"/>
        <w:adjustRightInd w:val="0"/>
        <w:spacing w:after="0" w:line="240" w:lineRule="auto"/>
        <w:rPr>
          <w:rFonts w:ascii="Garamond" w:hAnsi="Garamond" w:cs="Times New Roman"/>
        </w:rPr>
      </w:pPr>
    </w:p>
    <w:p w:rsidR="003F6F6E" w:rsidRPr="006D70EA" w:rsidRDefault="003F6F6E" w:rsidP="003F6F6E">
      <w:pPr>
        <w:autoSpaceDE w:val="0"/>
        <w:autoSpaceDN w:val="0"/>
        <w:adjustRightInd w:val="0"/>
        <w:spacing w:after="0" w:line="240" w:lineRule="auto"/>
        <w:rPr>
          <w:rFonts w:ascii="Garamond" w:hAnsi="Garamond" w:cs="Times New Roman"/>
        </w:rPr>
      </w:pPr>
    </w:p>
    <w:p w:rsidR="003F6F6E" w:rsidRPr="006D70EA" w:rsidRDefault="003F6F6E" w:rsidP="003F6F6E">
      <w:pPr>
        <w:autoSpaceDE w:val="0"/>
        <w:autoSpaceDN w:val="0"/>
        <w:adjustRightInd w:val="0"/>
        <w:spacing w:after="0" w:line="240" w:lineRule="auto"/>
        <w:rPr>
          <w:rFonts w:ascii="Garamond" w:hAnsi="Garamond" w:cs="Times New Roman"/>
        </w:rPr>
      </w:pPr>
    </w:p>
    <w:p w:rsidR="003F6F6E" w:rsidRPr="006D70EA" w:rsidRDefault="003F6F6E" w:rsidP="003F6F6E">
      <w:pPr>
        <w:autoSpaceDE w:val="0"/>
        <w:autoSpaceDN w:val="0"/>
        <w:adjustRightInd w:val="0"/>
        <w:spacing w:after="0" w:line="240" w:lineRule="auto"/>
        <w:rPr>
          <w:rFonts w:ascii="Garamond" w:hAnsi="Garamond" w:cs="Times New Roman"/>
        </w:rPr>
      </w:pPr>
    </w:p>
    <w:p w:rsidR="003F6F6E" w:rsidRPr="006D70EA" w:rsidRDefault="003F6F6E" w:rsidP="003F6F6E">
      <w:pPr>
        <w:autoSpaceDE w:val="0"/>
        <w:autoSpaceDN w:val="0"/>
        <w:adjustRightInd w:val="0"/>
        <w:spacing w:after="0" w:line="240" w:lineRule="auto"/>
        <w:rPr>
          <w:rFonts w:ascii="Garamond" w:hAnsi="Garamond"/>
        </w:rPr>
      </w:pPr>
    </w:p>
    <w:p w:rsidR="003F6F6E" w:rsidRPr="006D70EA" w:rsidRDefault="003F6F6E" w:rsidP="003F6F6E">
      <w:pPr>
        <w:autoSpaceDE w:val="0"/>
        <w:autoSpaceDN w:val="0"/>
        <w:adjustRightInd w:val="0"/>
        <w:spacing w:after="0" w:line="240" w:lineRule="auto"/>
        <w:rPr>
          <w:rFonts w:ascii="Garamond" w:hAnsi="Garamond"/>
        </w:rPr>
      </w:pPr>
    </w:p>
    <w:p w:rsidR="003F6F6E" w:rsidRPr="006D70EA" w:rsidRDefault="003F6F6E" w:rsidP="003F6F6E">
      <w:pPr>
        <w:autoSpaceDE w:val="0"/>
        <w:autoSpaceDN w:val="0"/>
        <w:adjustRightInd w:val="0"/>
        <w:spacing w:after="0" w:line="240" w:lineRule="auto"/>
        <w:rPr>
          <w:rFonts w:ascii="Garamond" w:hAnsi="Garamond"/>
        </w:rPr>
      </w:pPr>
    </w:p>
    <w:p w:rsidR="003F6F6E" w:rsidRPr="006D70EA" w:rsidRDefault="003F6F6E" w:rsidP="003F6F6E">
      <w:pPr>
        <w:autoSpaceDE w:val="0"/>
        <w:autoSpaceDN w:val="0"/>
        <w:adjustRightInd w:val="0"/>
        <w:spacing w:after="0" w:line="240" w:lineRule="auto"/>
        <w:rPr>
          <w:rFonts w:ascii="Garamond" w:hAnsi="Garamond"/>
        </w:rPr>
      </w:pPr>
    </w:p>
    <w:p w:rsidR="003F6F6E" w:rsidRPr="006D70EA" w:rsidRDefault="003F6F6E" w:rsidP="003F6F6E">
      <w:pPr>
        <w:autoSpaceDE w:val="0"/>
        <w:autoSpaceDN w:val="0"/>
        <w:adjustRightInd w:val="0"/>
        <w:spacing w:after="0" w:line="240" w:lineRule="auto"/>
        <w:rPr>
          <w:rFonts w:ascii="Garamond" w:hAnsi="Garamond"/>
        </w:rPr>
      </w:pPr>
    </w:p>
    <w:p w:rsidR="003F6F6E" w:rsidRPr="006D70EA" w:rsidRDefault="003F6F6E" w:rsidP="003F6F6E">
      <w:pPr>
        <w:autoSpaceDE w:val="0"/>
        <w:autoSpaceDN w:val="0"/>
        <w:adjustRightInd w:val="0"/>
        <w:spacing w:after="0" w:line="240" w:lineRule="auto"/>
        <w:rPr>
          <w:rFonts w:ascii="Garamond" w:hAnsi="Garamond"/>
        </w:rPr>
      </w:pPr>
    </w:p>
    <w:p w:rsidR="003F6F6E" w:rsidRPr="006D70EA" w:rsidRDefault="003F6F6E" w:rsidP="003F6F6E">
      <w:pPr>
        <w:autoSpaceDE w:val="0"/>
        <w:autoSpaceDN w:val="0"/>
        <w:adjustRightInd w:val="0"/>
        <w:spacing w:after="0" w:line="240" w:lineRule="auto"/>
        <w:rPr>
          <w:rFonts w:ascii="Garamond" w:hAnsi="Garamond"/>
        </w:rPr>
      </w:pPr>
    </w:p>
    <w:p w:rsidR="003F6F6E" w:rsidRPr="006D70EA" w:rsidRDefault="003F6F6E" w:rsidP="003F6F6E">
      <w:pPr>
        <w:autoSpaceDE w:val="0"/>
        <w:autoSpaceDN w:val="0"/>
        <w:adjustRightInd w:val="0"/>
        <w:spacing w:after="0" w:line="240" w:lineRule="auto"/>
        <w:rPr>
          <w:rFonts w:ascii="Garamond" w:hAnsi="Garamond"/>
        </w:rPr>
      </w:pPr>
    </w:p>
    <w:p w:rsidR="006D70EA" w:rsidRDefault="006D70EA" w:rsidP="001661DA">
      <w:pPr>
        <w:autoSpaceDE w:val="0"/>
        <w:autoSpaceDN w:val="0"/>
        <w:adjustRightInd w:val="0"/>
        <w:spacing w:after="0" w:line="240" w:lineRule="auto"/>
        <w:rPr>
          <w:rFonts w:ascii="Garamond" w:hAnsi="Garamond" w:cs="Times New Roman"/>
        </w:rPr>
      </w:pPr>
    </w:p>
    <w:p w:rsidR="006D70EA" w:rsidRDefault="006D70EA" w:rsidP="001661DA">
      <w:pPr>
        <w:autoSpaceDE w:val="0"/>
        <w:autoSpaceDN w:val="0"/>
        <w:adjustRightInd w:val="0"/>
        <w:spacing w:after="0" w:line="240" w:lineRule="auto"/>
        <w:rPr>
          <w:rFonts w:ascii="Garamond" w:hAnsi="Garamond" w:cs="Times New Roman"/>
        </w:rPr>
      </w:pPr>
    </w:p>
    <w:p w:rsidR="001661DA" w:rsidRPr="006D70EA" w:rsidRDefault="003F6F6E" w:rsidP="001661DA">
      <w:pPr>
        <w:autoSpaceDE w:val="0"/>
        <w:autoSpaceDN w:val="0"/>
        <w:adjustRightInd w:val="0"/>
        <w:spacing w:after="0" w:line="240" w:lineRule="auto"/>
        <w:rPr>
          <w:rFonts w:ascii="Garamond" w:hAnsi="Garamond" w:cs="Times New Roman"/>
        </w:rPr>
      </w:pPr>
      <w:r w:rsidRPr="006D70EA">
        <w:rPr>
          <w:rFonts w:ascii="Garamond" w:hAnsi="Garamond" w:cs="Times New Roman"/>
        </w:rPr>
        <w:t xml:space="preserve">Figure 3: </w:t>
      </w:r>
      <w:r w:rsidR="00E17BEF" w:rsidRPr="006D70EA">
        <w:rPr>
          <w:rFonts w:ascii="Garamond" w:hAnsi="Garamond" w:cs="Times New Roman"/>
        </w:rPr>
        <w:t>Graph</w:t>
      </w:r>
      <w:r w:rsidR="001661DA" w:rsidRPr="006D70EA">
        <w:rPr>
          <w:rFonts w:ascii="Garamond" w:hAnsi="Garamond" w:cs="Times New Roman"/>
        </w:rPr>
        <w:t xml:space="preserve"> comparing student average course grades for Genetics (sections 1 and 2), and General Microbiology during the </w:t>
      </w:r>
      <w:proofErr w:type="gramStart"/>
      <w:r w:rsidR="001661DA" w:rsidRPr="006D70EA">
        <w:rPr>
          <w:rFonts w:ascii="Garamond" w:hAnsi="Garamond" w:cs="Times New Roman"/>
        </w:rPr>
        <w:t>Spring</w:t>
      </w:r>
      <w:proofErr w:type="gramEnd"/>
      <w:r w:rsidR="001661DA" w:rsidRPr="006D70EA">
        <w:rPr>
          <w:rFonts w:ascii="Garamond" w:hAnsi="Garamond" w:cs="Times New Roman"/>
        </w:rPr>
        <w:t xml:space="preserve"> 2012 semester, for PLs (Leaders) and non-PLs (non-leaders).</w:t>
      </w:r>
    </w:p>
    <w:p w:rsidR="003F6F6E" w:rsidRPr="006D70EA" w:rsidRDefault="003F6F6E" w:rsidP="003F6F6E">
      <w:pPr>
        <w:autoSpaceDE w:val="0"/>
        <w:autoSpaceDN w:val="0"/>
        <w:adjustRightInd w:val="0"/>
        <w:spacing w:after="0" w:line="240" w:lineRule="auto"/>
        <w:rPr>
          <w:rFonts w:ascii="Garamond" w:hAnsi="Garamond" w:cs="Times New Roman"/>
        </w:rPr>
      </w:pPr>
    </w:p>
    <w:p w:rsidR="003F6F6E" w:rsidRPr="006D70EA" w:rsidRDefault="003F6F6E" w:rsidP="003F6F6E">
      <w:pPr>
        <w:autoSpaceDE w:val="0"/>
        <w:autoSpaceDN w:val="0"/>
        <w:adjustRightInd w:val="0"/>
        <w:spacing w:after="0" w:line="240" w:lineRule="auto"/>
        <w:rPr>
          <w:rFonts w:ascii="Garamond" w:hAnsi="Garamond" w:cs="Times New Roman"/>
        </w:rPr>
      </w:pPr>
    </w:p>
    <w:p w:rsidR="003F6F6E" w:rsidRPr="006D70EA" w:rsidRDefault="003F6F6E" w:rsidP="006D70EA">
      <w:pPr>
        <w:autoSpaceDE w:val="0"/>
        <w:autoSpaceDN w:val="0"/>
        <w:adjustRightInd w:val="0"/>
        <w:spacing w:after="0"/>
        <w:rPr>
          <w:rFonts w:ascii="Garamond" w:hAnsi="Garamond" w:cs="Times New Roman"/>
          <w:bCs/>
          <w:u w:val="single"/>
        </w:rPr>
      </w:pPr>
      <w:r w:rsidRPr="006D70EA">
        <w:rPr>
          <w:rFonts w:ascii="Garamond" w:hAnsi="Garamond" w:cs="Times New Roman"/>
          <w:bCs/>
          <w:u w:val="single"/>
        </w:rPr>
        <w:t>Discussion</w:t>
      </w:r>
    </w:p>
    <w:p w:rsidR="003F6F6E" w:rsidRPr="006D70EA" w:rsidRDefault="006F13ED" w:rsidP="003E4F0B">
      <w:pPr>
        <w:autoSpaceDE w:val="0"/>
        <w:autoSpaceDN w:val="0"/>
        <w:adjustRightInd w:val="0"/>
        <w:spacing w:after="0"/>
        <w:ind w:firstLine="720"/>
        <w:rPr>
          <w:rFonts w:ascii="Garamond" w:hAnsi="Garamond" w:cs="Times New Roman"/>
          <w:bCs/>
        </w:rPr>
      </w:pPr>
      <w:r w:rsidRPr="006D70EA">
        <w:rPr>
          <w:rFonts w:ascii="Garamond" w:hAnsi="Garamond" w:cs="Times New Roman"/>
        </w:rPr>
        <w:t>These p</w:t>
      </w:r>
      <w:r w:rsidR="00454EAD" w:rsidRPr="006D70EA">
        <w:rPr>
          <w:rFonts w:ascii="Garamond" w:hAnsi="Garamond" w:cs="Times New Roman"/>
        </w:rPr>
        <w:t>reliminary analyses demonstrate that PLs who were currently leading a workshop, or previously led a workshop, outperformed their peers</w:t>
      </w:r>
      <w:r w:rsidR="000770C3" w:rsidRPr="006D70EA">
        <w:rPr>
          <w:rFonts w:ascii="Garamond" w:hAnsi="Garamond" w:cs="Times New Roman"/>
        </w:rPr>
        <w:t>, taking the same course,</w:t>
      </w:r>
      <w:r w:rsidR="00454EAD" w:rsidRPr="006D70EA">
        <w:rPr>
          <w:rFonts w:ascii="Garamond" w:hAnsi="Garamond" w:cs="Times New Roman"/>
        </w:rPr>
        <w:t xml:space="preserve"> who were not </w:t>
      </w:r>
      <w:proofErr w:type="spellStart"/>
      <w:r w:rsidR="00454EAD" w:rsidRPr="006D70EA">
        <w:rPr>
          <w:rFonts w:ascii="Garamond" w:hAnsi="Garamond" w:cs="Times New Roman"/>
        </w:rPr>
        <w:t>PL</w:t>
      </w:r>
      <w:r w:rsidRPr="006D70EA">
        <w:rPr>
          <w:rFonts w:ascii="Garamond" w:hAnsi="Garamond" w:cs="Times New Roman"/>
        </w:rPr>
        <w:t>s</w:t>
      </w:r>
      <w:r w:rsidR="00454EAD" w:rsidRPr="006D70EA">
        <w:rPr>
          <w:rFonts w:ascii="Garamond" w:hAnsi="Garamond" w:cs="Times New Roman"/>
        </w:rPr>
        <w:t>.</w:t>
      </w:r>
      <w:proofErr w:type="spellEnd"/>
      <w:r w:rsidRPr="006D70EA">
        <w:rPr>
          <w:rFonts w:ascii="Garamond" w:hAnsi="Garamond" w:cs="Times New Roman"/>
        </w:rPr>
        <w:t xml:space="preserve"> This was </w:t>
      </w:r>
      <w:r w:rsidR="00A41056" w:rsidRPr="006D70EA">
        <w:rPr>
          <w:rFonts w:ascii="Garamond" w:hAnsi="Garamond" w:cs="Times New Roman"/>
        </w:rPr>
        <w:t xml:space="preserve">shown </w:t>
      </w:r>
      <w:r w:rsidRPr="006D70EA">
        <w:rPr>
          <w:rFonts w:ascii="Garamond" w:hAnsi="Garamond" w:cs="Times New Roman"/>
        </w:rPr>
        <w:t xml:space="preserve">across two semesters, in required </w:t>
      </w:r>
      <w:r w:rsidR="00A41056" w:rsidRPr="006D70EA">
        <w:rPr>
          <w:rFonts w:ascii="Garamond" w:hAnsi="Garamond" w:cs="Times New Roman"/>
        </w:rPr>
        <w:t xml:space="preserve">majors </w:t>
      </w:r>
      <w:r w:rsidRPr="006D70EA">
        <w:rPr>
          <w:rFonts w:ascii="Garamond" w:hAnsi="Garamond" w:cs="Times New Roman"/>
        </w:rPr>
        <w:t xml:space="preserve">courses (Genetics, Ecology, and Evolution), and in an elective </w:t>
      </w:r>
      <w:r w:rsidR="00A41056" w:rsidRPr="006D70EA">
        <w:rPr>
          <w:rFonts w:ascii="Garamond" w:hAnsi="Garamond" w:cs="Times New Roman"/>
        </w:rPr>
        <w:t xml:space="preserve">majors </w:t>
      </w:r>
      <w:r w:rsidRPr="006D70EA">
        <w:rPr>
          <w:rFonts w:ascii="Garamond" w:hAnsi="Garamond" w:cs="Times New Roman"/>
        </w:rPr>
        <w:t xml:space="preserve">course (General Microbiology). </w:t>
      </w:r>
      <w:r w:rsidR="00E17BEF" w:rsidRPr="006D70EA">
        <w:rPr>
          <w:rFonts w:ascii="Garamond" w:hAnsi="Garamond" w:cs="Times New Roman"/>
          <w:bCs/>
        </w:rPr>
        <w:t xml:space="preserve">The most notable difference between PLs and non-PLs was shown in the Genetics course in </w:t>
      </w:r>
      <w:proofErr w:type="gramStart"/>
      <w:r w:rsidR="00E17BEF" w:rsidRPr="006D70EA">
        <w:rPr>
          <w:rFonts w:ascii="Garamond" w:hAnsi="Garamond" w:cs="Times New Roman"/>
          <w:bCs/>
        </w:rPr>
        <w:t>Fall</w:t>
      </w:r>
      <w:proofErr w:type="gramEnd"/>
      <w:r w:rsidR="00E17BEF" w:rsidRPr="006D70EA">
        <w:rPr>
          <w:rFonts w:ascii="Garamond" w:hAnsi="Garamond" w:cs="Times New Roman"/>
          <w:bCs/>
        </w:rPr>
        <w:t xml:space="preserve"> 2011. Here, PLs performed, on average, 1 grade point higher than those who were not PLs (Figure 1). The</w:t>
      </w:r>
      <w:r w:rsidR="003E4F0B">
        <w:rPr>
          <w:rFonts w:ascii="Garamond" w:hAnsi="Garamond" w:cs="Times New Roman"/>
          <w:bCs/>
        </w:rPr>
        <w:t xml:space="preserve"> </w:t>
      </w:r>
      <w:r w:rsidRPr="006D70EA">
        <w:rPr>
          <w:rFonts w:ascii="Garamond" w:hAnsi="Garamond" w:cs="Times New Roman"/>
        </w:rPr>
        <w:t>courses</w:t>
      </w:r>
      <w:r w:rsidR="00E17BEF" w:rsidRPr="006D70EA">
        <w:rPr>
          <w:rFonts w:ascii="Garamond" w:hAnsi="Garamond" w:cs="Times New Roman"/>
        </w:rPr>
        <w:t xml:space="preserve"> in this preliminary analysis</w:t>
      </w:r>
      <w:r w:rsidRPr="006D70EA">
        <w:rPr>
          <w:rFonts w:ascii="Garamond" w:hAnsi="Garamond" w:cs="Times New Roman"/>
        </w:rPr>
        <w:t xml:space="preserve"> were taught by different instructors, except for the </w:t>
      </w:r>
      <w:proofErr w:type="gramStart"/>
      <w:r w:rsidRPr="006D70EA">
        <w:rPr>
          <w:rFonts w:ascii="Garamond" w:hAnsi="Garamond" w:cs="Times New Roman"/>
        </w:rPr>
        <w:t>Fall</w:t>
      </w:r>
      <w:proofErr w:type="gramEnd"/>
      <w:r w:rsidRPr="006D70EA">
        <w:rPr>
          <w:rFonts w:ascii="Garamond" w:hAnsi="Garamond" w:cs="Times New Roman"/>
        </w:rPr>
        <w:t xml:space="preserve"> 2011 Genetics course</w:t>
      </w:r>
      <w:r w:rsidR="00E17BEF" w:rsidRPr="006D70EA">
        <w:rPr>
          <w:rFonts w:ascii="Garamond" w:hAnsi="Garamond" w:cs="Times New Roman"/>
        </w:rPr>
        <w:t xml:space="preserve"> and </w:t>
      </w:r>
      <w:r w:rsidRPr="006D70EA">
        <w:rPr>
          <w:rFonts w:ascii="Garamond" w:hAnsi="Garamond" w:cs="Times New Roman"/>
        </w:rPr>
        <w:t>Genetics</w:t>
      </w:r>
      <w:r w:rsidR="00E17BEF" w:rsidRPr="006D70EA">
        <w:rPr>
          <w:rFonts w:ascii="Garamond" w:hAnsi="Garamond" w:cs="Times New Roman"/>
        </w:rPr>
        <w:t xml:space="preserve"> (section 1)</w:t>
      </w:r>
      <w:r w:rsidRPr="006D70EA">
        <w:rPr>
          <w:rFonts w:ascii="Garamond" w:hAnsi="Garamond" w:cs="Times New Roman"/>
        </w:rPr>
        <w:t xml:space="preserve"> course in Spring 2012. </w:t>
      </w:r>
      <w:r w:rsidR="00E17BEF" w:rsidRPr="006D70EA">
        <w:rPr>
          <w:rFonts w:ascii="Garamond" w:hAnsi="Garamond" w:cs="Times New Roman"/>
        </w:rPr>
        <w:t xml:space="preserve">However, regardless of the instructor a similar effect on a PL’s academic success was observed across the courses. </w:t>
      </w:r>
      <w:r w:rsidRPr="006D70EA">
        <w:rPr>
          <w:rFonts w:ascii="Garamond" w:hAnsi="Garamond" w:cs="Times New Roman"/>
        </w:rPr>
        <w:t>Higher perform</w:t>
      </w:r>
      <w:r w:rsidR="00D17683" w:rsidRPr="006D70EA">
        <w:rPr>
          <w:rFonts w:ascii="Garamond" w:hAnsi="Garamond" w:cs="Times New Roman"/>
        </w:rPr>
        <w:t xml:space="preserve">ances in courses, could lead to </w:t>
      </w:r>
      <w:r w:rsidRPr="006D70EA">
        <w:rPr>
          <w:rFonts w:ascii="Garamond" w:hAnsi="Garamond" w:cs="Times New Roman"/>
        </w:rPr>
        <w:t>higher retention within the majo</w:t>
      </w:r>
      <w:r w:rsidR="00E17BEF" w:rsidRPr="006D70EA">
        <w:rPr>
          <w:rFonts w:ascii="Garamond" w:hAnsi="Garamond" w:cs="Times New Roman"/>
        </w:rPr>
        <w:t xml:space="preserve">r, and higher graduation rates. </w:t>
      </w:r>
      <w:r w:rsidRPr="006D70EA">
        <w:rPr>
          <w:rFonts w:ascii="Garamond" w:hAnsi="Garamond" w:cs="Times New Roman"/>
        </w:rPr>
        <w:t xml:space="preserve">Analyses to demonstrate these </w:t>
      </w:r>
      <w:proofErr w:type="gramStart"/>
      <w:r w:rsidRPr="006D70EA">
        <w:rPr>
          <w:rFonts w:ascii="Garamond" w:hAnsi="Garamond" w:cs="Times New Roman"/>
        </w:rPr>
        <w:t>correlations,</w:t>
      </w:r>
      <w:proofErr w:type="gramEnd"/>
      <w:r w:rsidRPr="006D70EA">
        <w:rPr>
          <w:rFonts w:ascii="Garamond" w:hAnsi="Garamond" w:cs="Times New Roman"/>
        </w:rPr>
        <w:t xml:space="preserve"> will be performed in the future. </w:t>
      </w:r>
    </w:p>
    <w:p w:rsidR="006B36A5" w:rsidRPr="006D70EA" w:rsidRDefault="006D70EA" w:rsidP="006D70EA">
      <w:pPr>
        <w:autoSpaceDE w:val="0"/>
        <w:autoSpaceDN w:val="0"/>
        <w:adjustRightInd w:val="0"/>
        <w:spacing w:after="0"/>
        <w:ind w:right="-90"/>
        <w:rPr>
          <w:rFonts w:ascii="Garamond" w:hAnsi="Garamond" w:cs="Times New Roman"/>
        </w:rPr>
      </w:pPr>
      <w:r>
        <w:rPr>
          <w:rFonts w:ascii="Garamond" w:hAnsi="Garamond" w:cs="Times New Roman"/>
        </w:rPr>
        <w:tab/>
      </w:r>
      <w:r w:rsidR="006B36A5" w:rsidRPr="006D70EA">
        <w:rPr>
          <w:rFonts w:ascii="Garamond" w:hAnsi="Garamond" w:cs="Times New Roman"/>
        </w:rPr>
        <w:t xml:space="preserve">This improvement in academic success by </w:t>
      </w:r>
      <w:r w:rsidR="00026219" w:rsidRPr="006D70EA">
        <w:rPr>
          <w:rFonts w:ascii="Garamond" w:hAnsi="Garamond" w:cs="Times New Roman"/>
        </w:rPr>
        <w:t>PLs</w:t>
      </w:r>
      <w:r w:rsidR="006B36A5" w:rsidRPr="006D70EA">
        <w:rPr>
          <w:rFonts w:ascii="Garamond" w:hAnsi="Garamond" w:cs="Times New Roman"/>
        </w:rPr>
        <w:t xml:space="preserve"> is complimentary to anecdotes and qualitative data collected by various institutions on the PL experience</w:t>
      </w:r>
      <w:r w:rsidR="00026219" w:rsidRPr="006D70EA">
        <w:rPr>
          <w:rFonts w:ascii="Garamond" w:hAnsi="Garamond" w:cs="Times New Roman"/>
        </w:rPr>
        <w:t xml:space="preserve"> (</w:t>
      </w:r>
      <w:proofErr w:type="spellStart"/>
      <w:r w:rsidR="000D130E" w:rsidRPr="006D70EA">
        <w:rPr>
          <w:rFonts w:ascii="Garamond" w:hAnsi="Garamond" w:cs="Times New Roman"/>
        </w:rPr>
        <w:t>Gafney</w:t>
      </w:r>
      <w:proofErr w:type="spellEnd"/>
      <w:r w:rsidR="000D130E" w:rsidRPr="006D70EA">
        <w:rPr>
          <w:rFonts w:ascii="Garamond" w:hAnsi="Garamond" w:cs="Times New Roman"/>
        </w:rPr>
        <w:t xml:space="preserve"> and Varma-Nelson, 2008</w:t>
      </w:r>
      <w:r w:rsidR="00026219" w:rsidRPr="006D70EA">
        <w:rPr>
          <w:rFonts w:ascii="Garamond" w:hAnsi="Garamond" w:cs="Times New Roman"/>
        </w:rPr>
        <w:t>)</w:t>
      </w:r>
      <w:r w:rsidR="006B36A5" w:rsidRPr="006D70EA">
        <w:rPr>
          <w:rFonts w:ascii="Garamond" w:hAnsi="Garamond" w:cs="Times New Roman"/>
        </w:rPr>
        <w:t>.</w:t>
      </w:r>
      <w:r w:rsidR="00026219" w:rsidRPr="006D70EA">
        <w:rPr>
          <w:rFonts w:ascii="Garamond" w:hAnsi="Garamond" w:cs="Times New Roman"/>
        </w:rPr>
        <w:t xml:space="preserve">There is a positive </w:t>
      </w:r>
      <w:r w:rsidR="00026219" w:rsidRPr="006D70EA">
        <w:rPr>
          <w:rFonts w:ascii="Garamond" w:hAnsi="Garamond" w:cs="Times New Roman"/>
        </w:rPr>
        <w:lastRenderedPageBreak/>
        <w:t>correlation between academic success and a student’s apprenticeship time in PLTL. These results highlight</w:t>
      </w:r>
      <w:r w:rsidR="006B36A5" w:rsidRPr="006D70EA">
        <w:rPr>
          <w:rFonts w:ascii="Garamond" w:hAnsi="Garamond" w:cs="Times New Roman"/>
        </w:rPr>
        <w:t xml:space="preserve"> the body of evidence that the quality of time on task is highly influential</w:t>
      </w:r>
      <w:r w:rsidR="00026219" w:rsidRPr="006D70EA">
        <w:rPr>
          <w:rFonts w:ascii="Garamond" w:hAnsi="Garamond" w:cs="Times New Roman"/>
        </w:rPr>
        <w:t xml:space="preserve"> in academic success. Additionally, these results suggest that the PL experience may strongly influence student retention, especially among underrepresented minority groups in </w:t>
      </w:r>
      <w:r w:rsidR="000770C3" w:rsidRPr="006D70EA">
        <w:rPr>
          <w:rFonts w:ascii="Garamond" w:hAnsi="Garamond" w:cs="Times New Roman"/>
        </w:rPr>
        <w:t>STEM disciplines</w:t>
      </w:r>
      <w:r w:rsidR="00026219" w:rsidRPr="006D70EA">
        <w:rPr>
          <w:rFonts w:ascii="Garamond" w:hAnsi="Garamond" w:cs="Times New Roman"/>
        </w:rPr>
        <w:t xml:space="preserve">. </w:t>
      </w:r>
    </w:p>
    <w:p w:rsidR="003F6F6E" w:rsidRPr="006D70EA" w:rsidRDefault="003F6F6E" w:rsidP="006D70EA">
      <w:pPr>
        <w:autoSpaceDE w:val="0"/>
        <w:autoSpaceDN w:val="0"/>
        <w:adjustRightInd w:val="0"/>
        <w:spacing w:after="0"/>
        <w:ind w:firstLine="720"/>
        <w:rPr>
          <w:rFonts w:ascii="Garamond" w:hAnsi="Garamond" w:cs="Times New Roman"/>
          <w:bCs/>
        </w:rPr>
      </w:pPr>
      <w:r w:rsidRPr="006D70EA">
        <w:rPr>
          <w:rFonts w:ascii="Garamond" w:hAnsi="Garamond" w:cs="Times New Roman"/>
          <w:bCs/>
        </w:rPr>
        <w:t>Great focus has been placed on analyzing and understanding the boost</w:t>
      </w:r>
      <w:r w:rsidR="006D70EA">
        <w:rPr>
          <w:rFonts w:ascii="Garamond" w:hAnsi="Garamond" w:cs="Times New Roman"/>
          <w:bCs/>
        </w:rPr>
        <w:t xml:space="preserve"> </w:t>
      </w:r>
      <w:r w:rsidRPr="006D70EA">
        <w:rPr>
          <w:rFonts w:ascii="Garamond" w:hAnsi="Garamond" w:cs="Times New Roman"/>
          <w:bCs/>
        </w:rPr>
        <w:t>that undergraduate students acquire when actively participating in PLTL,</w:t>
      </w:r>
      <w:r w:rsidR="006D70EA">
        <w:rPr>
          <w:rFonts w:ascii="Garamond" w:hAnsi="Garamond" w:cs="Times New Roman"/>
          <w:bCs/>
        </w:rPr>
        <w:t xml:space="preserve"> </w:t>
      </w:r>
      <w:r w:rsidRPr="006D70EA">
        <w:rPr>
          <w:rFonts w:ascii="Garamond" w:hAnsi="Garamond" w:cs="Times New Roman"/>
          <w:bCs/>
        </w:rPr>
        <w:t xml:space="preserve">but </w:t>
      </w:r>
      <w:r w:rsidR="000770C3" w:rsidRPr="006D70EA">
        <w:rPr>
          <w:rFonts w:ascii="Garamond" w:hAnsi="Garamond" w:cs="Times New Roman"/>
          <w:bCs/>
        </w:rPr>
        <w:t>it is</w:t>
      </w:r>
      <w:r w:rsidR="006D70EA">
        <w:rPr>
          <w:rFonts w:ascii="Garamond" w:hAnsi="Garamond" w:cs="Times New Roman"/>
          <w:bCs/>
        </w:rPr>
        <w:t xml:space="preserve"> </w:t>
      </w:r>
      <w:r w:rsidRPr="006D70EA">
        <w:rPr>
          <w:rFonts w:ascii="Garamond" w:hAnsi="Garamond" w:cs="Times New Roman"/>
          <w:bCs/>
        </w:rPr>
        <w:t>suspected that the PLs gain the most out of the PLTL experience.</w:t>
      </w:r>
      <w:r w:rsidR="000770C3" w:rsidRPr="006D70EA">
        <w:rPr>
          <w:rFonts w:ascii="Garamond" w:hAnsi="Garamond" w:cs="Times New Roman"/>
          <w:bCs/>
        </w:rPr>
        <w:t xml:space="preserve"> S</w:t>
      </w:r>
      <w:r w:rsidRPr="006D70EA">
        <w:rPr>
          <w:rFonts w:ascii="Garamond" w:hAnsi="Garamond" w:cs="Times New Roman"/>
          <w:bCs/>
        </w:rPr>
        <w:t>hort-term research goals are focused on analyzing and understanding</w:t>
      </w:r>
      <w:r w:rsidR="006D70EA">
        <w:rPr>
          <w:rFonts w:ascii="Garamond" w:hAnsi="Garamond" w:cs="Times New Roman"/>
          <w:bCs/>
        </w:rPr>
        <w:t xml:space="preserve"> </w:t>
      </w:r>
      <w:r w:rsidR="000770C3" w:rsidRPr="006D70EA">
        <w:rPr>
          <w:rFonts w:ascii="Garamond" w:hAnsi="Garamond" w:cs="Times New Roman"/>
          <w:bCs/>
        </w:rPr>
        <w:t>the extent in which</w:t>
      </w:r>
      <w:r w:rsidR="006D70EA">
        <w:rPr>
          <w:rFonts w:ascii="Garamond" w:hAnsi="Garamond" w:cs="Times New Roman"/>
          <w:bCs/>
        </w:rPr>
        <w:t xml:space="preserve"> </w:t>
      </w:r>
      <w:r w:rsidRPr="006D70EA">
        <w:rPr>
          <w:rFonts w:ascii="Garamond" w:hAnsi="Garamond" w:cs="Times New Roman"/>
          <w:bCs/>
        </w:rPr>
        <w:t xml:space="preserve">PLs develop academic, interpersonal, social, and leadership skills. In time, </w:t>
      </w:r>
      <w:r w:rsidR="000770C3" w:rsidRPr="006D70EA">
        <w:rPr>
          <w:rFonts w:ascii="Garamond" w:hAnsi="Garamond" w:cs="Times New Roman"/>
          <w:bCs/>
        </w:rPr>
        <w:t>there are hopes</w:t>
      </w:r>
      <w:r w:rsidRPr="006D70EA">
        <w:rPr>
          <w:rFonts w:ascii="Garamond" w:hAnsi="Garamond" w:cs="Times New Roman"/>
          <w:bCs/>
        </w:rPr>
        <w:t xml:space="preserve"> to collaborate with</w:t>
      </w:r>
      <w:r w:rsidR="006D70EA">
        <w:rPr>
          <w:rFonts w:ascii="Garamond" w:hAnsi="Garamond" w:cs="Times New Roman"/>
          <w:bCs/>
        </w:rPr>
        <w:t xml:space="preserve"> </w:t>
      </w:r>
      <w:r w:rsidRPr="006D70EA">
        <w:rPr>
          <w:rFonts w:ascii="Garamond" w:hAnsi="Garamond" w:cs="Times New Roman"/>
          <w:bCs/>
        </w:rPr>
        <w:t>PLTL practitioners to create a network of educational researchers aimed</w:t>
      </w:r>
      <w:r w:rsidR="006D70EA">
        <w:rPr>
          <w:rFonts w:ascii="Garamond" w:hAnsi="Garamond" w:cs="Times New Roman"/>
          <w:bCs/>
        </w:rPr>
        <w:t xml:space="preserve"> </w:t>
      </w:r>
      <w:r w:rsidRPr="006D70EA">
        <w:rPr>
          <w:rFonts w:ascii="Garamond" w:hAnsi="Garamond" w:cs="Times New Roman"/>
          <w:bCs/>
        </w:rPr>
        <w:t>at solving PLTL-related inquiries.</w:t>
      </w:r>
    </w:p>
    <w:p w:rsidR="003F6F6E" w:rsidRPr="006D70EA" w:rsidRDefault="003F6F6E" w:rsidP="006D70EA">
      <w:pPr>
        <w:spacing w:after="0"/>
        <w:rPr>
          <w:rFonts w:ascii="Garamond" w:hAnsi="Garamond" w:cs="Times New Roman"/>
        </w:rPr>
      </w:pPr>
    </w:p>
    <w:p w:rsidR="003F6F6E" w:rsidRPr="006D70EA" w:rsidRDefault="00C534E3" w:rsidP="00215686">
      <w:pPr>
        <w:rPr>
          <w:rFonts w:ascii="Garamond" w:hAnsi="Garamond" w:cs="Times New Roman"/>
          <w:u w:val="single"/>
        </w:rPr>
      </w:pPr>
      <w:r w:rsidRPr="006D70EA">
        <w:rPr>
          <w:rFonts w:ascii="Garamond" w:hAnsi="Garamond" w:cs="Times New Roman"/>
          <w:u w:val="single"/>
        </w:rPr>
        <w:t>References</w:t>
      </w:r>
    </w:p>
    <w:p w:rsidR="00C534E3" w:rsidRPr="006D70EA" w:rsidRDefault="00C534E3" w:rsidP="006D70EA">
      <w:pPr>
        <w:spacing w:after="120" w:line="240" w:lineRule="auto"/>
        <w:ind w:left="547" w:hanging="547"/>
        <w:rPr>
          <w:rFonts w:ascii="Garamond" w:eastAsia="Times New Roman" w:hAnsi="Garamond" w:cs="Times New Roman"/>
        </w:rPr>
      </w:pPr>
      <w:r w:rsidRPr="006D70EA">
        <w:rPr>
          <w:rFonts w:ascii="Garamond" w:eastAsia="Times New Roman" w:hAnsi="Garamond" w:cs="Times New Roman"/>
        </w:rPr>
        <w:t>Bloom, B. (1959).</w:t>
      </w:r>
      <w:r w:rsidRPr="006D70EA">
        <w:rPr>
          <w:rFonts w:ascii="Garamond" w:eastAsia="Times New Roman" w:hAnsi="Garamond" w:cs="Times New Roman"/>
          <w:i/>
        </w:rPr>
        <w:t>Taxonomy of Educational Objectives, Handbook I: The Cognitive Domain</w:t>
      </w:r>
      <w:r w:rsidRPr="006D70EA">
        <w:rPr>
          <w:rFonts w:ascii="Garamond" w:eastAsia="Times New Roman" w:hAnsi="Garamond" w:cs="Times New Roman"/>
        </w:rPr>
        <w:t>.</w:t>
      </w:r>
      <w:r w:rsidR="006D70EA">
        <w:rPr>
          <w:rFonts w:ascii="Garamond" w:eastAsia="Times New Roman" w:hAnsi="Garamond" w:cs="Times New Roman"/>
        </w:rPr>
        <w:t xml:space="preserve"> </w:t>
      </w:r>
      <w:r w:rsidRPr="006D70EA">
        <w:rPr>
          <w:rFonts w:ascii="Garamond" w:eastAsia="Times New Roman" w:hAnsi="Garamond" w:cs="Times New Roman"/>
        </w:rPr>
        <w:t>New York, NY: David McKay.</w:t>
      </w:r>
    </w:p>
    <w:p w:rsidR="00C534E3" w:rsidRPr="006D70EA" w:rsidRDefault="00C534E3" w:rsidP="006D70EA">
      <w:pPr>
        <w:spacing w:after="120" w:line="240" w:lineRule="auto"/>
        <w:ind w:left="547" w:hanging="547"/>
        <w:rPr>
          <w:rFonts w:ascii="Garamond" w:hAnsi="Garamond" w:cs="Times New Roman"/>
        </w:rPr>
      </w:pPr>
      <w:r w:rsidRPr="006D70EA">
        <w:rPr>
          <w:rFonts w:ascii="Garamond" w:hAnsi="Garamond" w:cs="Times New Roman"/>
        </w:rPr>
        <w:t xml:space="preserve">Dale, E. (1969). </w:t>
      </w:r>
      <w:proofErr w:type="gramStart"/>
      <w:r w:rsidRPr="006D70EA">
        <w:rPr>
          <w:rFonts w:ascii="Garamond" w:hAnsi="Garamond" w:cs="Times New Roman"/>
          <w:i/>
        </w:rPr>
        <w:t>Audio-visual methods in teaching</w:t>
      </w:r>
      <w:r w:rsidRPr="006D70EA">
        <w:rPr>
          <w:rFonts w:ascii="Garamond" w:hAnsi="Garamond" w:cs="Times New Roman"/>
        </w:rPr>
        <w:t>.</w:t>
      </w:r>
      <w:proofErr w:type="gramEnd"/>
      <w:r w:rsidRPr="006D70EA">
        <w:rPr>
          <w:rFonts w:ascii="Garamond" w:hAnsi="Garamond" w:cs="Times New Roman"/>
        </w:rPr>
        <w:t xml:space="preserve"> New York, NY: Dryden Press. </w:t>
      </w:r>
    </w:p>
    <w:p w:rsidR="000D130E" w:rsidRPr="006D70EA" w:rsidRDefault="000D130E" w:rsidP="006D70EA">
      <w:pPr>
        <w:spacing w:after="120" w:line="240" w:lineRule="auto"/>
        <w:ind w:left="547" w:hanging="547"/>
        <w:rPr>
          <w:rFonts w:ascii="Garamond" w:hAnsi="Garamond" w:cs="Times New Roman"/>
        </w:rPr>
      </w:pPr>
      <w:proofErr w:type="spellStart"/>
      <w:proofErr w:type="gramStart"/>
      <w:r w:rsidRPr="006D70EA">
        <w:rPr>
          <w:rFonts w:ascii="Garamond" w:hAnsi="Garamond" w:cs="Times New Roman"/>
        </w:rPr>
        <w:t>Gafney</w:t>
      </w:r>
      <w:proofErr w:type="spellEnd"/>
      <w:r w:rsidRPr="006D70EA">
        <w:rPr>
          <w:rFonts w:ascii="Garamond" w:hAnsi="Garamond" w:cs="Times New Roman"/>
        </w:rPr>
        <w:t>, L., and Varma-Nelson, P. (2008).</w:t>
      </w:r>
      <w:proofErr w:type="gramEnd"/>
      <w:r w:rsidRPr="006D70EA">
        <w:rPr>
          <w:rFonts w:ascii="Garamond" w:hAnsi="Garamond" w:cs="Times New Roman"/>
        </w:rPr>
        <w:t xml:space="preserve"> </w:t>
      </w:r>
      <w:r w:rsidRPr="006D70EA">
        <w:rPr>
          <w:rFonts w:ascii="Garamond" w:hAnsi="Garamond" w:cs="Times New Roman"/>
          <w:i/>
        </w:rPr>
        <w:t xml:space="preserve">Peer-Led Team Learning: Evaluation, Dissemination, and Institutionalization of a College Level Initiative. In: Innovations in Science Education and Technology </w:t>
      </w:r>
      <w:proofErr w:type="spellStart"/>
      <w:r w:rsidRPr="006D70EA">
        <w:rPr>
          <w:rFonts w:ascii="Garamond" w:hAnsi="Garamond" w:cs="Times New Roman"/>
          <w:i/>
        </w:rPr>
        <w:t>Vol</w:t>
      </w:r>
      <w:proofErr w:type="spellEnd"/>
      <w:r w:rsidRPr="006D70EA">
        <w:rPr>
          <w:rFonts w:ascii="Garamond" w:hAnsi="Garamond" w:cs="Times New Roman"/>
          <w:i/>
        </w:rPr>
        <w:t xml:space="preserve"> 16</w:t>
      </w:r>
      <w:r w:rsidRPr="006D70EA">
        <w:rPr>
          <w:rFonts w:ascii="Garamond" w:hAnsi="Garamond" w:cs="Times New Roman"/>
        </w:rPr>
        <w:t>. New York, NY: Springer.</w:t>
      </w:r>
    </w:p>
    <w:p w:rsidR="00C534E3" w:rsidRPr="006D70EA" w:rsidRDefault="000D130E" w:rsidP="006D70EA">
      <w:pPr>
        <w:spacing w:after="120" w:line="240" w:lineRule="auto"/>
        <w:ind w:left="547" w:hanging="547"/>
        <w:rPr>
          <w:rFonts w:ascii="Garamond" w:hAnsi="Garamond" w:cs="Times New Roman"/>
        </w:rPr>
      </w:pPr>
      <w:r w:rsidRPr="006D70EA">
        <w:rPr>
          <w:rFonts w:ascii="Garamond" w:hAnsi="Garamond" w:cs="Times New Roman"/>
        </w:rPr>
        <w:t xml:space="preserve">Vygotsky, L. S. (1978). </w:t>
      </w:r>
      <w:r w:rsidRPr="006D70EA">
        <w:rPr>
          <w:rFonts w:ascii="Garamond" w:hAnsi="Garamond" w:cs="Times New Roman"/>
          <w:i/>
        </w:rPr>
        <w:t>Mind in Society: The Development of Higher Psychological Processes</w:t>
      </w:r>
      <w:r w:rsidRPr="006D70EA">
        <w:rPr>
          <w:rFonts w:ascii="Garamond" w:hAnsi="Garamond" w:cs="Times New Roman"/>
        </w:rPr>
        <w:t xml:space="preserve">. </w:t>
      </w:r>
      <w:proofErr w:type="spellStart"/>
      <w:r w:rsidRPr="006D70EA">
        <w:rPr>
          <w:rFonts w:ascii="Garamond" w:hAnsi="Garamond" w:cs="Times New Roman"/>
        </w:rPr>
        <w:t>Cambrige</w:t>
      </w:r>
      <w:proofErr w:type="spellEnd"/>
      <w:r w:rsidRPr="006D70EA">
        <w:rPr>
          <w:rFonts w:ascii="Garamond" w:hAnsi="Garamond" w:cs="Times New Roman"/>
        </w:rPr>
        <w:t>, MA: Harvard University Press.</w:t>
      </w:r>
    </w:p>
    <w:p w:rsidR="000D130E" w:rsidRDefault="000D130E" w:rsidP="00C534E3">
      <w:pPr>
        <w:ind w:left="540" w:hanging="540"/>
        <w:rPr>
          <w:rFonts w:ascii="Garamond" w:hAnsi="Garamond" w:cs="Times New Roman"/>
        </w:rPr>
      </w:pPr>
    </w:p>
    <w:p w:rsidR="006D70EA" w:rsidRDefault="006D70EA" w:rsidP="00C534E3">
      <w:pPr>
        <w:ind w:left="540" w:hanging="540"/>
        <w:rPr>
          <w:rFonts w:ascii="Garamond" w:hAnsi="Garamond" w:cs="Times New Roman"/>
        </w:rPr>
      </w:pPr>
    </w:p>
    <w:p w:rsidR="006D70EA" w:rsidRPr="00167FD3" w:rsidRDefault="006D70EA" w:rsidP="008A5FC7">
      <w:pPr>
        <w:spacing w:line="240" w:lineRule="auto"/>
        <w:rPr>
          <w:rFonts w:ascii="Garamond" w:hAnsi="Garamond"/>
        </w:rPr>
      </w:pPr>
      <w:r w:rsidRPr="00167FD3">
        <w:rPr>
          <w:rFonts w:ascii="Garamond" w:hAnsi="Garamond"/>
          <w:b/>
        </w:rPr>
        <w:t xml:space="preserve">Cite this paper as: </w:t>
      </w:r>
      <w:proofErr w:type="spellStart"/>
      <w:r>
        <w:rPr>
          <w:rFonts w:ascii="Garamond" w:hAnsi="Garamond"/>
        </w:rPr>
        <w:t>Alberte</w:t>
      </w:r>
      <w:proofErr w:type="spellEnd"/>
      <w:r>
        <w:rPr>
          <w:rFonts w:ascii="Garamond" w:hAnsi="Garamond"/>
        </w:rPr>
        <w:t xml:space="preserve">, J.L., Cruz, A., Rodriguez, N., </w:t>
      </w:r>
      <w:proofErr w:type="spellStart"/>
      <w:r>
        <w:rPr>
          <w:rFonts w:ascii="Garamond" w:hAnsi="Garamond"/>
        </w:rPr>
        <w:t>Pitzer</w:t>
      </w:r>
      <w:proofErr w:type="spellEnd"/>
      <w:r>
        <w:rPr>
          <w:rFonts w:ascii="Garamond" w:hAnsi="Garamond"/>
        </w:rPr>
        <w:t xml:space="preserve">, </w:t>
      </w:r>
      <w:proofErr w:type="gramStart"/>
      <w:r>
        <w:rPr>
          <w:rFonts w:ascii="Garamond" w:hAnsi="Garamond"/>
        </w:rPr>
        <w:t>T</w:t>
      </w:r>
      <w:proofErr w:type="gramEnd"/>
      <w:r>
        <w:rPr>
          <w:rFonts w:ascii="Garamond" w:hAnsi="Garamond"/>
        </w:rPr>
        <w:t>. (2013</w:t>
      </w:r>
      <w:r w:rsidRPr="00167FD3">
        <w:rPr>
          <w:rFonts w:ascii="Garamond" w:hAnsi="Garamond"/>
        </w:rPr>
        <w:t xml:space="preserve">). </w:t>
      </w:r>
      <w:proofErr w:type="gramStart"/>
      <w:r>
        <w:rPr>
          <w:rFonts w:ascii="Garamond" w:hAnsi="Garamond"/>
          <w:bCs/>
        </w:rPr>
        <w:t>The PLTL leader boost.</w:t>
      </w:r>
      <w:proofErr w:type="gramEnd"/>
      <w:r>
        <w:rPr>
          <w:rFonts w:ascii="Garamond" w:hAnsi="Garamond"/>
          <w:bCs/>
        </w:rPr>
        <w:t xml:space="preserve"> </w:t>
      </w:r>
      <w:r w:rsidRPr="00E41929">
        <w:rPr>
          <w:rFonts w:ascii="Garamond" w:hAnsi="Garamond" w:cstheme="majorHAnsi"/>
          <w:i/>
        </w:rPr>
        <w:t xml:space="preserve">Conference </w:t>
      </w:r>
      <w:r w:rsidRPr="00E41929">
        <w:rPr>
          <w:rFonts w:ascii="Garamond" w:eastAsia="Calibri" w:hAnsi="Garamond" w:cs="Times New Roman"/>
          <w:i/>
          <w:szCs w:val="24"/>
        </w:rPr>
        <w:t>Proceedings of the Peer-Led Team Learning International Society</w:t>
      </w:r>
      <w:r w:rsidRPr="00102D13">
        <w:rPr>
          <w:rFonts w:ascii="Garamond" w:eastAsia="Calibri" w:hAnsi="Garamond" w:cs="Times New Roman"/>
          <w:szCs w:val="24"/>
        </w:rPr>
        <w:t>,</w:t>
      </w:r>
      <w:r w:rsidRPr="00167FD3">
        <w:rPr>
          <w:rFonts w:ascii="Garamond" w:eastAsia="Calibri" w:hAnsi="Garamond" w:cs="Times New Roman"/>
          <w:szCs w:val="24"/>
        </w:rPr>
        <w:t xml:space="preserve"> May 17-19, 2012, </w:t>
      </w:r>
      <w:r w:rsidRPr="00167FD3">
        <w:rPr>
          <w:rFonts w:ascii="Garamond" w:eastAsia="Calibri" w:hAnsi="Garamond" w:cs="Times New Roman"/>
          <w:szCs w:val="20"/>
        </w:rPr>
        <w:t xml:space="preserve">New York City College of Technology of the City University of New York, </w:t>
      </w:r>
      <w:hyperlink r:id="rId11" w:history="1">
        <w:r w:rsidRPr="00167FD3">
          <w:rPr>
            <w:rStyle w:val="Hyperlink"/>
            <w:rFonts w:ascii="Garamond" w:eastAsia="Calibri" w:hAnsi="Garamond" w:cs="Times New Roman"/>
            <w:szCs w:val="20"/>
          </w:rPr>
          <w:t>www.pltlis.org</w:t>
        </w:r>
      </w:hyperlink>
      <w:proofErr w:type="gramStart"/>
      <w:r w:rsidRPr="00167FD3">
        <w:rPr>
          <w:rFonts w:ascii="Garamond" w:eastAsia="Calibri" w:hAnsi="Garamond" w:cs="Times New Roman"/>
          <w:szCs w:val="20"/>
        </w:rPr>
        <w:t>;  ISSN</w:t>
      </w:r>
      <w:proofErr w:type="gramEnd"/>
      <w:r>
        <w:rPr>
          <w:rFonts w:ascii="Garamond" w:eastAsia="Calibri" w:hAnsi="Garamond" w:cs="Times New Roman"/>
          <w:szCs w:val="20"/>
        </w:rPr>
        <w:t xml:space="preserve"> 2329-2113.</w:t>
      </w:r>
    </w:p>
    <w:p w:rsidR="006D70EA" w:rsidRPr="006D70EA" w:rsidRDefault="006D70EA" w:rsidP="008A5FC7">
      <w:pPr>
        <w:rPr>
          <w:rFonts w:ascii="Garamond" w:hAnsi="Garamond" w:cs="Times New Roman"/>
        </w:rPr>
      </w:pPr>
    </w:p>
    <w:sectPr w:rsidR="006D70EA" w:rsidRPr="006D70EA" w:rsidSect="000F01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ll 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E00"/>
    <w:rsid w:val="00026219"/>
    <w:rsid w:val="00037516"/>
    <w:rsid w:val="00040741"/>
    <w:rsid w:val="000770C3"/>
    <w:rsid w:val="000D130E"/>
    <w:rsid w:val="000F0127"/>
    <w:rsid w:val="001113EF"/>
    <w:rsid w:val="001355E8"/>
    <w:rsid w:val="001661DA"/>
    <w:rsid w:val="00215686"/>
    <w:rsid w:val="002E1F01"/>
    <w:rsid w:val="003E4F0B"/>
    <w:rsid w:val="003F6F6E"/>
    <w:rsid w:val="00454EAD"/>
    <w:rsid w:val="005570C4"/>
    <w:rsid w:val="005E55E9"/>
    <w:rsid w:val="00600193"/>
    <w:rsid w:val="006B36A5"/>
    <w:rsid w:val="006B4A1F"/>
    <w:rsid w:val="006D70EA"/>
    <w:rsid w:val="006F13ED"/>
    <w:rsid w:val="00731A37"/>
    <w:rsid w:val="00745A8E"/>
    <w:rsid w:val="00790A92"/>
    <w:rsid w:val="007C01C3"/>
    <w:rsid w:val="00834196"/>
    <w:rsid w:val="008A5FC7"/>
    <w:rsid w:val="008F4D42"/>
    <w:rsid w:val="008F5BE4"/>
    <w:rsid w:val="00957E81"/>
    <w:rsid w:val="00A41056"/>
    <w:rsid w:val="00B91CD0"/>
    <w:rsid w:val="00B97E00"/>
    <w:rsid w:val="00C534E3"/>
    <w:rsid w:val="00C73DD7"/>
    <w:rsid w:val="00C857B6"/>
    <w:rsid w:val="00CD25F4"/>
    <w:rsid w:val="00CF7DAE"/>
    <w:rsid w:val="00D17683"/>
    <w:rsid w:val="00D83681"/>
    <w:rsid w:val="00E17BEF"/>
    <w:rsid w:val="00E4623B"/>
    <w:rsid w:val="00EE27DF"/>
    <w:rsid w:val="00FD6C19"/>
    <w:rsid w:val="00FF69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E00"/>
    <w:pPr>
      <w:spacing w:after="0" w:line="240" w:lineRule="auto"/>
    </w:pPr>
  </w:style>
  <w:style w:type="character" w:styleId="Hyperlink">
    <w:name w:val="Hyperlink"/>
    <w:basedOn w:val="DefaultParagraphFont"/>
    <w:uiPriority w:val="99"/>
    <w:unhideWhenUsed/>
    <w:rsid w:val="00B97E00"/>
    <w:rPr>
      <w:color w:val="0000FF" w:themeColor="hyperlink"/>
      <w:u w:val="single"/>
    </w:rPr>
  </w:style>
  <w:style w:type="paragraph" w:styleId="BalloonText">
    <w:name w:val="Balloon Text"/>
    <w:basedOn w:val="Normal"/>
    <w:link w:val="BalloonTextChar"/>
    <w:uiPriority w:val="99"/>
    <w:semiHidden/>
    <w:unhideWhenUsed/>
    <w:rsid w:val="00834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196"/>
    <w:rPr>
      <w:rFonts w:ascii="Tahoma" w:hAnsi="Tahoma" w:cs="Tahoma"/>
      <w:sz w:val="16"/>
      <w:szCs w:val="16"/>
    </w:rPr>
  </w:style>
  <w:style w:type="character" w:styleId="CommentReference">
    <w:name w:val="annotation reference"/>
    <w:basedOn w:val="DefaultParagraphFont"/>
    <w:uiPriority w:val="99"/>
    <w:semiHidden/>
    <w:unhideWhenUsed/>
    <w:rsid w:val="001355E8"/>
    <w:rPr>
      <w:sz w:val="16"/>
      <w:szCs w:val="16"/>
    </w:rPr>
  </w:style>
  <w:style w:type="paragraph" w:styleId="CommentText">
    <w:name w:val="annotation text"/>
    <w:basedOn w:val="Normal"/>
    <w:link w:val="CommentTextChar"/>
    <w:uiPriority w:val="99"/>
    <w:semiHidden/>
    <w:unhideWhenUsed/>
    <w:rsid w:val="001355E8"/>
    <w:pPr>
      <w:spacing w:line="240" w:lineRule="auto"/>
    </w:pPr>
    <w:rPr>
      <w:sz w:val="20"/>
      <w:szCs w:val="20"/>
    </w:rPr>
  </w:style>
  <w:style w:type="character" w:customStyle="1" w:styleId="CommentTextChar">
    <w:name w:val="Comment Text Char"/>
    <w:basedOn w:val="DefaultParagraphFont"/>
    <w:link w:val="CommentText"/>
    <w:uiPriority w:val="99"/>
    <w:semiHidden/>
    <w:rsid w:val="001355E8"/>
    <w:rPr>
      <w:sz w:val="20"/>
      <w:szCs w:val="20"/>
    </w:rPr>
  </w:style>
  <w:style w:type="paragraph" w:styleId="CommentSubject">
    <w:name w:val="annotation subject"/>
    <w:basedOn w:val="CommentText"/>
    <w:next w:val="CommentText"/>
    <w:link w:val="CommentSubjectChar"/>
    <w:uiPriority w:val="99"/>
    <w:semiHidden/>
    <w:unhideWhenUsed/>
    <w:rsid w:val="001355E8"/>
    <w:rPr>
      <w:b/>
      <w:bCs/>
    </w:rPr>
  </w:style>
  <w:style w:type="character" w:customStyle="1" w:styleId="CommentSubjectChar">
    <w:name w:val="Comment Subject Char"/>
    <w:basedOn w:val="CommentTextChar"/>
    <w:link w:val="CommentSubject"/>
    <w:uiPriority w:val="99"/>
    <w:semiHidden/>
    <w:rsid w:val="001355E8"/>
    <w:rPr>
      <w:b/>
      <w:bCs/>
      <w:sz w:val="20"/>
      <w:szCs w:val="20"/>
    </w:rPr>
  </w:style>
  <w:style w:type="table" w:styleId="MediumShading1-Accent5">
    <w:name w:val="Medium Shading 1 Accent 5"/>
    <w:basedOn w:val="TableNormal"/>
    <w:uiPriority w:val="63"/>
    <w:rsid w:val="006D70E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657882513">
      <w:bodyDiv w:val="1"/>
      <w:marLeft w:val="0"/>
      <w:marRight w:val="0"/>
      <w:marTop w:val="0"/>
      <w:marBottom w:val="0"/>
      <w:divBdr>
        <w:top w:val="none" w:sz="0" w:space="0" w:color="auto"/>
        <w:left w:val="none" w:sz="0" w:space="0" w:color="auto"/>
        <w:bottom w:val="none" w:sz="0" w:space="0" w:color="auto"/>
        <w:right w:val="none" w:sz="0" w:space="0" w:color="auto"/>
      </w:divBdr>
      <w:divsChild>
        <w:div w:id="504170817">
          <w:marLeft w:val="0"/>
          <w:marRight w:val="0"/>
          <w:marTop w:val="0"/>
          <w:marBottom w:val="0"/>
          <w:divBdr>
            <w:top w:val="none" w:sz="0" w:space="0" w:color="auto"/>
            <w:left w:val="none" w:sz="0" w:space="0" w:color="auto"/>
            <w:bottom w:val="none" w:sz="0" w:space="0" w:color="auto"/>
            <w:right w:val="none" w:sz="0" w:space="0" w:color="auto"/>
          </w:divBdr>
        </w:div>
        <w:div w:id="162942208">
          <w:marLeft w:val="0"/>
          <w:marRight w:val="0"/>
          <w:marTop w:val="0"/>
          <w:marBottom w:val="0"/>
          <w:divBdr>
            <w:top w:val="none" w:sz="0" w:space="0" w:color="auto"/>
            <w:left w:val="none" w:sz="0" w:space="0" w:color="auto"/>
            <w:bottom w:val="none" w:sz="0" w:space="0" w:color="auto"/>
            <w:right w:val="none" w:sz="0" w:space="0" w:color="auto"/>
          </w:divBdr>
        </w:div>
        <w:div w:id="9498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tlis.org"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5188E54D6F4494F95ACF6513FE19E7B" ma:contentTypeVersion="0" ma:contentTypeDescription="Create a new document." ma:contentTypeScope="" ma:versionID="59915b4aad7288663d56011f5c018f56">
  <xsd:schema xmlns:xsd="http://www.w3.org/2001/XMLSchema" xmlns:xs="http://www.w3.org/2001/XMLSchema" xmlns:p="http://schemas.microsoft.com/office/2006/metadata/properties" xmlns:ns2="89723744-6fbb-406b-a191-b4c373ba5bbb" targetNamespace="http://schemas.microsoft.com/office/2006/metadata/properties" ma:root="true" ma:fieldsID="b9822c3ffe65a9e5a28886df0dcee991" ns2:_="">
    <xsd:import namespace="89723744-6fbb-406b-a191-b4c373ba5b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23744-6fbb-406b-a191-b4c373ba5b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23744-6fbb-406b-a191-b4c373ba5bbb">FUTM5QVMKJ5Z-10-28060</_dlc_DocId>
    <_dlc_DocIdUrl xmlns="89723744-6fbb-406b-a191-b4c373ba5bbb">
      <Url>https://intranet.fiu.edu/cas/bioresearch/PLTL/_layouts/DocIdRedir.aspx?ID=FUTM5QVMKJ5Z-10-28060</Url>
      <Description>FUTM5QVMKJ5Z-10-28060</Description>
    </_dlc_DocIdUrl>
  </documentManagement>
</p:properties>
</file>

<file path=customXml/itemProps1.xml><?xml version="1.0" encoding="utf-8"?>
<ds:datastoreItem xmlns:ds="http://schemas.openxmlformats.org/officeDocument/2006/customXml" ds:itemID="{7C80A3CD-5018-413B-9692-7AE89252F2F2}"/>
</file>

<file path=customXml/itemProps2.xml><?xml version="1.0" encoding="utf-8"?>
<ds:datastoreItem xmlns:ds="http://schemas.openxmlformats.org/officeDocument/2006/customXml" ds:itemID="{00A24263-6E4E-417C-B3D2-4B769D2061FE}"/>
</file>

<file path=customXml/itemProps3.xml><?xml version="1.0" encoding="utf-8"?>
<ds:datastoreItem xmlns:ds="http://schemas.openxmlformats.org/officeDocument/2006/customXml" ds:itemID="{36594FE7-EFAE-4E95-8C39-6521FEE81781}"/>
</file>

<file path=customXml/itemProps4.xml><?xml version="1.0" encoding="utf-8"?>
<ds:datastoreItem xmlns:ds="http://schemas.openxmlformats.org/officeDocument/2006/customXml" ds:itemID="{C1784D90-C262-4994-BF2C-399D03269291}"/>
</file>

<file path=docProps/app.xml><?xml version="1.0" encoding="utf-8"?>
<Properties xmlns="http://schemas.openxmlformats.org/officeDocument/2006/extended-properties" xmlns:vt="http://schemas.openxmlformats.org/officeDocument/2006/docPropsVTypes">
  <Template>Normal</Template>
  <TotalTime>2</TotalTime>
  <Pages>6</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AED</cp:lastModifiedBy>
  <cp:revision>2</cp:revision>
  <dcterms:created xsi:type="dcterms:W3CDTF">2013-06-10T02:07:00Z</dcterms:created>
  <dcterms:modified xsi:type="dcterms:W3CDTF">2013-06-10T02:07:00Z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0x010100C5188E54D6F4494F95ACF6513FE19E7B</vt:lpwstr>
  </property>
  <property fmtid="{D5CDD505-2E9C-101B-9397-08002B2CF9AE}" pid="3" name="_dlc_DocIdItemGuid">
    <vt:lpwstr>f9bf447c-6453-4a3f-b972-2ff962f74ebd</vt:lpwstr>
  </property>
</Properties>
</file>